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744" w:rsidRDefault="00C85A4C">
      <w:pPr>
        <w:spacing w:line="288" w:lineRule="auto"/>
        <w:jc w:val="right"/>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dnia </w:t>
      </w:r>
      <w:r w:rsidR="009B0A05">
        <w:rPr>
          <w:sz w:val="24"/>
          <w:szCs w:val="24"/>
        </w:rPr>
        <w:t>08.08.2022</w:t>
      </w:r>
      <w:r>
        <w:rPr>
          <w:sz w:val="24"/>
          <w:szCs w:val="24"/>
        </w:rPr>
        <w:t xml:space="preserve"> r.</w:t>
      </w:r>
      <w:r>
        <w:tab/>
      </w:r>
      <w:r>
        <w:tab/>
      </w:r>
      <w:r>
        <w:tab/>
      </w:r>
      <w:r>
        <w:tab/>
      </w:r>
      <w:r>
        <w:tab/>
      </w:r>
    </w:p>
    <w:p w:rsidR="00EC6744" w:rsidRDefault="00C85A4C">
      <w:pPr>
        <w:spacing w:line="288" w:lineRule="auto"/>
        <w:ind w:left="4248"/>
      </w:pPr>
      <w:r>
        <w:rPr>
          <w:b/>
          <w:sz w:val="24"/>
        </w:rPr>
        <w:t>Samorządowe Kolegium Odwoławcze</w:t>
      </w:r>
    </w:p>
    <w:p w:rsidR="00EC6744" w:rsidRDefault="00C85A4C">
      <w:pPr>
        <w:spacing w:line="288" w:lineRule="auto"/>
        <w:ind w:left="4248"/>
      </w:pPr>
      <w:r>
        <w:rPr>
          <w:b/>
          <w:sz w:val="24"/>
        </w:rPr>
        <w:t>w Nowym Sączu</w:t>
      </w:r>
    </w:p>
    <w:p w:rsidR="00EC6744" w:rsidRDefault="00C85A4C">
      <w:pPr>
        <w:spacing w:line="288" w:lineRule="auto"/>
        <w:ind w:left="4248"/>
      </w:pPr>
      <w:r>
        <w:rPr>
          <w:color w:val="000000"/>
          <w:sz w:val="24"/>
        </w:rPr>
        <w:t>ul. Gorzkowska 30</w:t>
      </w:r>
      <w:r>
        <w:rPr>
          <w:color w:val="000000"/>
          <w:sz w:val="24"/>
        </w:rPr>
        <w:br/>
        <w:t>33-300 Nowy Sącz</w:t>
      </w:r>
    </w:p>
    <w:p w:rsidR="00EC6744" w:rsidRDefault="00C85A4C">
      <w:pPr>
        <w:spacing w:line="288" w:lineRule="auto"/>
        <w:ind w:left="4248"/>
      </w:pPr>
      <w:r>
        <w:rPr>
          <w:color w:val="000000"/>
          <w:sz w:val="24"/>
        </w:rPr>
        <w:t>za pośrednictwem</w:t>
      </w:r>
    </w:p>
    <w:p w:rsidR="00EC6744" w:rsidRDefault="00EC6744">
      <w:pPr>
        <w:spacing w:line="288" w:lineRule="auto"/>
        <w:ind w:left="4248"/>
      </w:pPr>
    </w:p>
    <w:p w:rsidR="00EC6744" w:rsidRDefault="00C85A4C" w:rsidP="00211F80">
      <w:pPr>
        <w:spacing w:line="288" w:lineRule="auto"/>
        <w:ind w:left="4248"/>
      </w:pPr>
      <w:r>
        <w:rPr>
          <w:sz w:val="24"/>
        </w:rPr>
        <w:t xml:space="preserve">Burmistrza </w:t>
      </w:r>
      <w:r w:rsidR="009B0A05">
        <w:rPr>
          <w:sz w:val="24"/>
        </w:rPr>
        <w:t>Piwnicznej Zdroju</w:t>
      </w:r>
    </w:p>
    <w:p w:rsidR="00EC6744" w:rsidRDefault="00EC6744">
      <w:pPr>
        <w:spacing w:line="288" w:lineRule="auto"/>
        <w:ind w:left="4248"/>
      </w:pPr>
    </w:p>
    <w:p w:rsidR="00C03F39" w:rsidRDefault="00C03F39" w:rsidP="00C03F39">
      <w:pPr>
        <w:spacing w:line="288" w:lineRule="auto"/>
        <w:ind w:left="4248" w:hanging="3930"/>
        <w:rPr>
          <w:rFonts w:asciiTheme="minorHAnsi" w:hAnsiTheme="minorHAnsi" w:cstheme="minorHAnsi"/>
          <w:sz w:val="24"/>
          <w:szCs w:val="24"/>
        </w:rPr>
      </w:pPr>
      <w:r w:rsidRPr="00CA7229">
        <w:rPr>
          <w:rFonts w:asciiTheme="minorHAnsi" w:hAnsiTheme="minorHAnsi" w:cstheme="minorHAnsi"/>
          <w:b/>
          <w:sz w:val="24"/>
          <w:szCs w:val="24"/>
        </w:rPr>
        <w:t>Strona skarżąca:</w:t>
      </w:r>
      <w:r w:rsidRPr="00CA7229">
        <w:rPr>
          <w:rFonts w:asciiTheme="minorHAnsi" w:hAnsiTheme="minorHAnsi" w:cstheme="minorHAnsi"/>
          <w:sz w:val="24"/>
          <w:szCs w:val="24"/>
        </w:rPr>
        <w:t xml:space="preserve"> …..............................................   </w:t>
      </w:r>
    </w:p>
    <w:p w:rsidR="00C03F39" w:rsidRDefault="00C03F39" w:rsidP="00C03F39">
      <w:pPr>
        <w:spacing w:line="288" w:lineRule="auto"/>
        <w:ind w:left="4248" w:hanging="1416"/>
        <w:rPr>
          <w:rFonts w:asciiTheme="minorHAnsi" w:hAnsiTheme="minorHAnsi" w:cstheme="minorHAnsi"/>
          <w:sz w:val="20"/>
          <w:szCs w:val="20"/>
        </w:rPr>
      </w:pPr>
      <w:r w:rsidRPr="00CA7229">
        <w:rPr>
          <w:rFonts w:asciiTheme="minorHAnsi" w:hAnsiTheme="minorHAnsi" w:cstheme="minorHAnsi"/>
          <w:sz w:val="20"/>
          <w:szCs w:val="20"/>
        </w:rPr>
        <w:t>Imię i nazwisko</w:t>
      </w:r>
    </w:p>
    <w:p w:rsidR="00C03F39" w:rsidRDefault="00C03F39" w:rsidP="00C03F39">
      <w:pPr>
        <w:spacing w:line="288" w:lineRule="auto"/>
        <w:ind w:left="4248" w:hanging="1416"/>
        <w:rPr>
          <w:rFonts w:asciiTheme="minorHAnsi" w:hAnsiTheme="minorHAnsi" w:cstheme="minorHAnsi"/>
          <w:sz w:val="20"/>
          <w:szCs w:val="20"/>
        </w:rPr>
      </w:pPr>
    </w:p>
    <w:p w:rsidR="00C03F39" w:rsidRPr="00CA7229" w:rsidRDefault="00C03F39" w:rsidP="00C03F39">
      <w:pPr>
        <w:spacing w:line="288" w:lineRule="auto"/>
        <w:rPr>
          <w:rFonts w:asciiTheme="minorHAnsi" w:hAnsiTheme="minorHAnsi" w:cstheme="minorHAnsi"/>
          <w:sz w:val="20"/>
          <w:szCs w:val="20"/>
        </w:rPr>
      </w:pPr>
      <w:r>
        <w:rPr>
          <w:rFonts w:asciiTheme="minorHAnsi" w:hAnsiTheme="minorHAnsi" w:cstheme="minorHAnsi"/>
          <w:sz w:val="20"/>
          <w:szCs w:val="20"/>
        </w:rPr>
        <w:t xml:space="preserve">                                            …………………………………………………………</w:t>
      </w:r>
    </w:p>
    <w:p w:rsidR="00C03F39" w:rsidRPr="00CA7229" w:rsidRDefault="00C03F39" w:rsidP="00C03F39">
      <w:pPr>
        <w:spacing w:line="288" w:lineRule="auto"/>
        <w:ind w:left="4248" w:hanging="1416"/>
        <w:rPr>
          <w:rFonts w:asciiTheme="minorHAnsi" w:hAnsiTheme="minorHAnsi" w:cstheme="minorHAnsi"/>
          <w:sz w:val="20"/>
          <w:szCs w:val="20"/>
        </w:rPr>
      </w:pPr>
      <w:r>
        <w:rPr>
          <w:rFonts w:asciiTheme="minorHAnsi" w:hAnsiTheme="minorHAnsi" w:cstheme="minorHAnsi"/>
          <w:sz w:val="20"/>
          <w:szCs w:val="20"/>
        </w:rPr>
        <w:t xml:space="preserve">          </w:t>
      </w:r>
      <w:r w:rsidRPr="00CA7229">
        <w:rPr>
          <w:rFonts w:asciiTheme="minorHAnsi" w:hAnsiTheme="minorHAnsi" w:cstheme="minorHAnsi"/>
          <w:sz w:val="20"/>
          <w:szCs w:val="20"/>
        </w:rPr>
        <w:t>Adres</w:t>
      </w:r>
    </w:p>
    <w:p w:rsidR="00EC6744" w:rsidRDefault="00EC6744">
      <w:pPr>
        <w:spacing w:line="288" w:lineRule="auto"/>
        <w:ind w:left="4248" w:hanging="3930"/>
      </w:pPr>
    </w:p>
    <w:p w:rsidR="00EC6744" w:rsidRDefault="00C85A4C">
      <w:pPr>
        <w:tabs>
          <w:tab w:val="left" w:pos="6888"/>
        </w:tabs>
        <w:spacing w:line="288" w:lineRule="auto"/>
        <w:ind w:left="4248" w:hanging="3930"/>
        <w:rPr>
          <w:b/>
          <w:sz w:val="24"/>
        </w:rPr>
      </w:pPr>
      <w:r>
        <w:rPr>
          <w:b/>
          <w:sz w:val="24"/>
        </w:rPr>
        <w:t xml:space="preserve">znak sprawy: </w:t>
      </w:r>
      <w:r w:rsidR="00F547F3">
        <w:rPr>
          <w:b/>
          <w:sz w:val="24"/>
        </w:rPr>
        <w:t>GL</w:t>
      </w:r>
      <w:r>
        <w:rPr>
          <w:b/>
          <w:sz w:val="24"/>
        </w:rPr>
        <w:t>.6220.</w:t>
      </w:r>
      <w:r w:rsidR="00F547F3">
        <w:rPr>
          <w:b/>
          <w:sz w:val="24"/>
        </w:rPr>
        <w:t>4.2022</w:t>
      </w:r>
    </w:p>
    <w:p w:rsidR="00EC6744" w:rsidRDefault="00EC6744">
      <w:pPr>
        <w:tabs>
          <w:tab w:val="left" w:pos="6888"/>
        </w:tabs>
        <w:spacing w:line="288" w:lineRule="auto"/>
        <w:ind w:left="4248" w:hanging="3930"/>
        <w:rPr>
          <w:b/>
          <w:sz w:val="24"/>
        </w:rPr>
      </w:pPr>
    </w:p>
    <w:p w:rsidR="00C03F39" w:rsidRPr="00211F80" w:rsidRDefault="00C85A4C" w:rsidP="00211F80">
      <w:pPr>
        <w:spacing w:line="288" w:lineRule="auto"/>
        <w:jc w:val="center"/>
      </w:pPr>
      <w:r>
        <w:rPr>
          <w:b/>
          <w:sz w:val="24"/>
        </w:rPr>
        <w:tab/>
      </w:r>
      <w:r>
        <w:rPr>
          <w:b/>
          <w:sz w:val="24"/>
        </w:rPr>
        <w:tab/>
      </w:r>
      <w:r>
        <w:rPr>
          <w:b/>
          <w:sz w:val="24"/>
        </w:rPr>
        <w:tab/>
      </w:r>
      <w:r>
        <w:rPr>
          <w:b/>
          <w:sz w:val="24"/>
        </w:rPr>
        <w:tab/>
      </w:r>
      <w:r>
        <w:rPr>
          <w:b/>
          <w:sz w:val="24"/>
        </w:rPr>
        <w:tab/>
      </w:r>
      <w:r>
        <w:rPr>
          <w:b/>
          <w:sz w:val="24"/>
        </w:rPr>
        <w:tab/>
      </w:r>
      <w:r w:rsidR="00C03F39" w:rsidRPr="00CA7229">
        <w:rPr>
          <w:rFonts w:asciiTheme="minorHAnsi" w:hAnsiTheme="minorHAnsi" w:cstheme="minorHAnsi"/>
          <w:b/>
          <w:sz w:val="24"/>
          <w:szCs w:val="24"/>
        </w:rPr>
        <w:tab/>
      </w:r>
      <w:r w:rsidR="00C03F39" w:rsidRPr="00CA7229">
        <w:rPr>
          <w:rFonts w:asciiTheme="minorHAnsi" w:hAnsiTheme="minorHAnsi" w:cstheme="minorHAnsi"/>
          <w:b/>
          <w:sz w:val="24"/>
          <w:szCs w:val="24"/>
        </w:rPr>
        <w:tab/>
      </w:r>
      <w:r w:rsidR="00C03F39" w:rsidRPr="00CA7229">
        <w:rPr>
          <w:rFonts w:asciiTheme="minorHAnsi" w:hAnsiTheme="minorHAnsi" w:cstheme="minorHAnsi"/>
          <w:b/>
          <w:sz w:val="24"/>
          <w:szCs w:val="24"/>
        </w:rPr>
        <w:tab/>
      </w:r>
      <w:r w:rsidR="00C03F39" w:rsidRPr="00CA7229">
        <w:rPr>
          <w:rFonts w:asciiTheme="minorHAnsi" w:hAnsiTheme="minorHAnsi" w:cstheme="minorHAnsi"/>
          <w:b/>
          <w:sz w:val="24"/>
          <w:szCs w:val="24"/>
        </w:rPr>
        <w:tab/>
      </w:r>
    </w:p>
    <w:p w:rsidR="00C03F39" w:rsidRPr="00CA7229" w:rsidRDefault="00C03F39" w:rsidP="00C03F39">
      <w:pPr>
        <w:spacing w:line="288" w:lineRule="auto"/>
        <w:jc w:val="center"/>
        <w:rPr>
          <w:rFonts w:asciiTheme="minorHAnsi" w:hAnsiTheme="minorHAnsi" w:cstheme="minorHAnsi"/>
          <w:sz w:val="24"/>
          <w:szCs w:val="24"/>
        </w:rPr>
      </w:pPr>
      <w:r w:rsidRPr="00CA7229">
        <w:rPr>
          <w:rFonts w:asciiTheme="minorHAnsi" w:hAnsiTheme="minorHAnsi" w:cstheme="minorHAnsi"/>
          <w:b/>
          <w:sz w:val="24"/>
          <w:szCs w:val="24"/>
        </w:rPr>
        <w:t>ZAŻALENIE</w:t>
      </w:r>
    </w:p>
    <w:p w:rsidR="00C03F39" w:rsidRPr="00CA7229" w:rsidRDefault="00C03F39" w:rsidP="00C03F39">
      <w:pPr>
        <w:spacing w:line="288" w:lineRule="auto"/>
        <w:jc w:val="center"/>
        <w:rPr>
          <w:rFonts w:asciiTheme="minorHAnsi" w:hAnsiTheme="minorHAnsi" w:cstheme="minorHAnsi"/>
          <w:sz w:val="24"/>
          <w:szCs w:val="24"/>
        </w:rPr>
      </w:pPr>
    </w:p>
    <w:p w:rsidR="00C03F39" w:rsidRPr="001D5AD5" w:rsidRDefault="00C03F39" w:rsidP="00C03F39">
      <w:pPr>
        <w:tabs>
          <w:tab w:val="left" w:pos="2640"/>
        </w:tabs>
        <w:spacing w:line="288" w:lineRule="auto"/>
        <w:jc w:val="both"/>
        <w:rPr>
          <w:rFonts w:asciiTheme="minorHAnsi" w:hAnsiTheme="minorHAnsi" w:cstheme="minorHAnsi"/>
          <w:sz w:val="24"/>
          <w:szCs w:val="24"/>
        </w:rPr>
      </w:pPr>
      <w:r w:rsidRPr="00CA7229">
        <w:rPr>
          <w:rFonts w:asciiTheme="minorHAnsi" w:hAnsiTheme="minorHAnsi" w:cstheme="minorHAnsi"/>
          <w:b/>
          <w:sz w:val="24"/>
          <w:szCs w:val="24"/>
        </w:rPr>
        <w:t>na postanowienie Burmistrza Piwnicznej Zdroju</w:t>
      </w:r>
      <w:r w:rsidRPr="00CA7229">
        <w:rPr>
          <w:rFonts w:asciiTheme="minorHAnsi" w:hAnsiTheme="minorHAnsi" w:cstheme="minorHAnsi"/>
          <w:sz w:val="24"/>
          <w:szCs w:val="24"/>
        </w:rPr>
        <w:t xml:space="preserve"> </w:t>
      </w:r>
      <w:r w:rsidRPr="00CA7229">
        <w:rPr>
          <w:rFonts w:asciiTheme="minorHAnsi" w:hAnsiTheme="minorHAnsi" w:cstheme="minorHAnsi"/>
          <w:b/>
          <w:sz w:val="24"/>
          <w:szCs w:val="24"/>
        </w:rPr>
        <w:t>z dnia 22.07.2022 r., znak: GL.6220.4.2022 w sprawie potrzeby przeprowadzenia oceny oddziaływania na środowisko dla przedsięwzięcia pn.  „</w:t>
      </w:r>
      <w:r w:rsidRPr="00CA7229">
        <w:rPr>
          <w:rFonts w:asciiTheme="minorHAnsi" w:hAnsiTheme="minorHAnsi" w:cstheme="minorHAnsi"/>
          <w:b/>
          <w:i/>
          <w:sz w:val="24"/>
          <w:szCs w:val="24"/>
        </w:rPr>
        <w:t xml:space="preserve">Budowa Obwodnicy Piwnicznej w ciągu drogi DK 87” </w:t>
      </w:r>
      <w:r w:rsidRPr="001D5AD5">
        <w:rPr>
          <w:rFonts w:asciiTheme="minorHAnsi" w:hAnsiTheme="minorHAnsi" w:cstheme="minorHAnsi"/>
          <w:b/>
          <w:sz w:val="24"/>
          <w:szCs w:val="24"/>
        </w:rPr>
        <w:t>podlegające doręczeniu poprzez ogłoszenie.</w:t>
      </w:r>
    </w:p>
    <w:p w:rsidR="00C03F39" w:rsidRPr="00CA7229" w:rsidRDefault="00C03F39" w:rsidP="00C03F39">
      <w:pPr>
        <w:spacing w:line="312" w:lineRule="auto"/>
        <w:rPr>
          <w:rFonts w:asciiTheme="minorHAnsi" w:hAnsiTheme="minorHAnsi" w:cstheme="minorHAnsi"/>
          <w:sz w:val="24"/>
          <w:szCs w:val="24"/>
        </w:rPr>
      </w:pPr>
    </w:p>
    <w:p w:rsidR="00C03F39" w:rsidRPr="00CA7229" w:rsidRDefault="00C03F39" w:rsidP="00C03F39">
      <w:pPr>
        <w:spacing w:line="312" w:lineRule="auto"/>
        <w:jc w:val="both"/>
        <w:rPr>
          <w:rFonts w:asciiTheme="minorHAnsi" w:hAnsiTheme="minorHAnsi" w:cstheme="minorHAnsi"/>
          <w:sz w:val="24"/>
          <w:szCs w:val="24"/>
        </w:rPr>
      </w:pPr>
      <w:r w:rsidRPr="00CA7229">
        <w:rPr>
          <w:rFonts w:asciiTheme="minorHAnsi" w:hAnsiTheme="minorHAnsi" w:cstheme="minorHAnsi"/>
          <w:sz w:val="24"/>
          <w:szCs w:val="24"/>
        </w:rPr>
        <w:t>1.</w:t>
      </w:r>
    </w:p>
    <w:p w:rsidR="00C03F39" w:rsidRPr="00CA7229" w:rsidRDefault="00C03F39" w:rsidP="00C03F39">
      <w:pPr>
        <w:spacing w:line="312" w:lineRule="auto"/>
        <w:jc w:val="both"/>
        <w:rPr>
          <w:rFonts w:asciiTheme="minorHAnsi" w:hAnsiTheme="minorHAnsi" w:cstheme="minorHAnsi"/>
          <w:sz w:val="24"/>
          <w:szCs w:val="24"/>
        </w:rPr>
      </w:pPr>
      <w:r w:rsidRPr="00CA7229">
        <w:rPr>
          <w:rFonts w:asciiTheme="minorHAnsi" w:hAnsiTheme="minorHAnsi" w:cstheme="minorHAnsi"/>
          <w:sz w:val="24"/>
          <w:szCs w:val="24"/>
        </w:rPr>
        <w:t xml:space="preserve">Działając na podstawie </w:t>
      </w:r>
      <w:r>
        <w:rPr>
          <w:rFonts w:asciiTheme="minorHAnsi" w:hAnsiTheme="minorHAnsi" w:cstheme="minorHAnsi"/>
          <w:sz w:val="24"/>
          <w:szCs w:val="24"/>
        </w:rPr>
        <w:t xml:space="preserve">141 i 144 kpa w zw. z </w:t>
      </w:r>
      <w:r w:rsidRPr="00CA7229">
        <w:rPr>
          <w:rFonts w:asciiTheme="minorHAnsi" w:hAnsiTheme="minorHAnsi" w:cstheme="minorHAnsi"/>
          <w:sz w:val="24"/>
          <w:szCs w:val="24"/>
        </w:rPr>
        <w:t xml:space="preserve">art 127 kpa -  </w:t>
      </w:r>
      <w:r w:rsidRPr="00CA7229">
        <w:rPr>
          <w:rFonts w:asciiTheme="minorHAnsi" w:hAnsiTheme="minorHAnsi" w:cstheme="minorHAnsi"/>
          <w:b/>
          <w:i/>
          <w:sz w:val="24"/>
          <w:szCs w:val="24"/>
        </w:rPr>
        <w:t>skarżonemu  zażaleniu zarzucamy</w:t>
      </w:r>
      <w:r w:rsidRPr="00CA7229">
        <w:rPr>
          <w:rFonts w:asciiTheme="minorHAnsi" w:hAnsiTheme="minorHAnsi" w:cstheme="minorHAnsi"/>
          <w:b/>
          <w:sz w:val="24"/>
          <w:szCs w:val="24"/>
        </w:rPr>
        <w:t xml:space="preserve">: </w:t>
      </w:r>
      <w:r w:rsidRPr="00CA7229">
        <w:rPr>
          <w:rFonts w:asciiTheme="minorHAnsi" w:hAnsiTheme="minorHAnsi" w:cstheme="minorHAnsi"/>
          <w:color w:val="000000"/>
          <w:sz w:val="24"/>
          <w:szCs w:val="24"/>
        </w:rPr>
        <w:t xml:space="preserve"> </w:t>
      </w:r>
    </w:p>
    <w:p w:rsidR="00C03F39" w:rsidRPr="00CA7229" w:rsidRDefault="00C03F39" w:rsidP="00C03F39">
      <w:pPr>
        <w:numPr>
          <w:ilvl w:val="0"/>
          <w:numId w:val="1"/>
        </w:numPr>
        <w:spacing w:line="312" w:lineRule="auto"/>
        <w:jc w:val="both"/>
        <w:rPr>
          <w:rFonts w:asciiTheme="minorHAnsi" w:hAnsiTheme="minorHAnsi" w:cstheme="minorHAnsi"/>
          <w:sz w:val="24"/>
          <w:szCs w:val="24"/>
        </w:rPr>
      </w:pPr>
      <w:r w:rsidRPr="00CA7229">
        <w:rPr>
          <w:rFonts w:asciiTheme="minorHAnsi" w:hAnsiTheme="minorHAnsi" w:cstheme="minorHAnsi"/>
          <w:color w:val="000000"/>
          <w:sz w:val="24"/>
          <w:szCs w:val="24"/>
        </w:rPr>
        <w:t>naruszenie przepisów postępowania a w szczególności art. 6, 7 i 8 KPA ( tj. zasady praworządności,  prawdy obiektywnej i  pogłębiania zaufania obywate</w:t>
      </w:r>
      <w:r w:rsidR="001D5AD5">
        <w:rPr>
          <w:rFonts w:asciiTheme="minorHAnsi" w:hAnsiTheme="minorHAnsi" w:cstheme="minorHAnsi"/>
          <w:color w:val="000000"/>
          <w:sz w:val="24"/>
          <w:szCs w:val="24"/>
        </w:rPr>
        <w:t xml:space="preserve">la do państwa) wymagających od </w:t>
      </w:r>
      <w:r w:rsidRPr="00CA7229">
        <w:rPr>
          <w:rFonts w:asciiTheme="minorHAnsi" w:hAnsiTheme="minorHAnsi" w:cstheme="minorHAnsi"/>
          <w:color w:val="000000"/>
          <w:sz w:val="24"/>
          <w:szCs w:val="24"/>
        </w:rPr>
        <w:t>organu dokładnego wyjaśnienie wszystkich istotnych okoliczno</w:t>
      </w:r>
      <w:r w:rsidRPr="00CA7229">
        <w:rPr>
          <w:rFonts w:asciiTheme="minorHAnsi" w:hAnsiTheme="minorHAnsi" w:cstheme="minorHAnsi"/>
          <w:shadow/>
          <w:color w:val="000000"/>
          <w:sz w:val="24"/>
          <w:szCs w:val="24"/>
        </w:rPr>
        <w:t>ści</w:t>
      </w:r>
      <w:r w:rsidR="001D5AD5">
        <w:rPr>
          <w:rFonts w:asciiTheme="minorHAnsi" w:hAnsiTheme="minorHAnsi" w:cstheme="minorHAnsi"/>
          <w:color w:val="000000"/>
          <w:sz w:val="24"/>
          <w:szCs w:val="24"/>
        </w:rPr>
        <w:t xml:space="preserve"> sprawy, nakazujących </w:t>
      </w:r>
      <w:r w:rsidRPr="00CA7229">
        <w:rPr>
          <w:rFonts w:asciiTheme="minorHAnsi" w:hAnsiTheme="minorHAnsi" w:cstheme="minorHAnsi"/>
          <w:color w:val="000000"/>
          <w:sz w:val="24"/>
          <w:szCs w:val="24"/>
        </w:rPr>
        <w:t>zebranie i wyczerpujące rozpoznanie  całego materiału dowodowego, istotnego dla rozstrzygnięcia sporawy,</w:t>
      </w:r>
    </w:p>
    <w:p w:rsidR="00C03F39" w:rsidRPr="00CA7229" w:rsidRDefault="00C03F39" w:rsidP="00C03F39">
      <w:pPr>
        <w:numPr>
          <w:ilvl w:val="0"/>
          <w:numId w:val="1"/>
        </w:numPr>
        <w:spacing w:line="312" w:lineRule="auto"/>
        <w:jc w:val="both"/>
        <w:rPr>
          <w:rFonts w:asciiTheme="minorHAnsi" w:hAnsiTheme="minorHAnsi" w:cstheme="minorHAnsi"/>
          <w:sz w:val="24"/>
          <w:szCs w:val="24"/>
        </w:rPr>
      </w:pPr>
      <w:r w:rsidRPr="00CA7229">
        <w:rPr>
          <w:rFonts w:asciiTheme="minorHAnsi" w:hAnsiTheme="minorHAnsi" w:cstheme="minorHAnsi"/>
          <w:iCs/>
          <w:color w:val="000000"/>
          <w:sz w:val="24"/>
          <w:szCs w:val="24"/>
        </w:rPr>
        <w:t xml:space="preserve">art 63 ust.1 i art.68 </w:t>
      </w:r>
      <w:bookmarkStart w:id="0" w:name="_Hlk57014659"/>
      <w:r w:rsidRPr="00CA7229">
        <w:rPr>
          <w:rFonts w:asciiTheme="minorHAnsi" w:hAnsiTheme="minorHAnsi" w:cstheme="minorHAnsi"/>
          <w:iCs/>
          <w:color w:val="000000"/>
          <w:sz w:val="24"/>
          <w:szCs w:val="24"/>
        </w:rPr>
        <w:t xml:space="preserve">ustawy z dnia 3 października 2008 r. o udostępnianiu informacji             o środowisku i jego ochronie, udziale społeczeństwa w ochronie środowiska oraz                 o ocenach oddziaływania na środowisko (Dz. U z </w:t>
      </w:r>
      <w:r w:rsidRPr="00CA7229">
        <w:rPr>
          <w:rFonts w:asciiTheme="minorHAnsi" w:hAnsiTheme="minorHAnsi" w:cstheme="minorHAnsi"/>
          <w:sz w:val="24"/>
          <w:szCs w:val="24"/>
        </w:rPr>
        <w:t>z 2022 r. poz. 1029</w:t>
      </w:r>
      <w:r w:rsidRPr="00CA7229">
        <w:rPr>
          <w:rFonts w:asciiTheme="minorHAnsi" w:hAnsiTheme="minorHAnsi" w:cstheme="minorHAnsi"/>
          <w:color w:val="000000"/>
          <w:sz w:val="24"/>
          <w:szCs w:val="24"/>
        </w:rPr>
        <w:t xml:space="preserve">) </w:t>
      </w:r>
      <w:bookmarkEnd w:id="0"/>
      <w:r w:rsidRPr="00CA7229">
        <w:rPr>
          <w:rFonts w:asciiTheme="minorHAnsi" w:hAnsiTheme="minorHAnsi" w:cstheme="minorHAnsi"/>
          <w:color w:val="000000"/>
          <w:sz w:val="24"/>
          <w:szCs w:val="24"/>
        </w:rPr>
        <w:t>poprzez niewłaściwe zastosowanie tj. nie uwzględni</w:t>
      </w:r>
      <w:r w:rsidR="001D5AD5">
        <w:rPr>
          <w:rFonts w:asciiTheme="minorHAnsi" w:hAnsiTheme="minorHAnsi" w:cstheme="minorHAnsi"/>
          <w:color w:val="000000"/>
          <w:sz w:val="24"/>
          <w:szCs w:val="24"/>
        </w:rPr>
        <w:t xml:space="preserve">enie regulacji w nim zawartych </w:t>
      </w:r>
      <w:r w:rsidRPr="00CA7229">
        <w:rPr>
          <w:rFonts w:asciiTheme="minorHAnsi" w:hAnsiTheme="minorHAnsi" w:cstheme="minorHAnsi"/>
          <w:color w:val="000000"/>
          <w:sz w:val="24"/>
          <w:szCs w:val="24"/>
        </w:rPr>
        <w:t xml:space="preserve">we właściwym dla charakteru toczącego się postępowania i rozmiarów inwestycji -  </w:t>
      </w:r>
      <w:r w:rsidRPr="00CA7229">
        <w:rPr>
          <w:rFonts w:asciiTheme="minorHAnsi" w:hAnsiTheme="minorHAnsi" w:cstheme="minorHAnsi"/>
          <w:color w:val="000000"/>
          <w:sz w:val="24"/>
          <w:szCs w:val="24"/>
        </w:rPr>
        <w:lastRenderedPageBreak/>
        <w:t>zakresie.</w:t>
      </w:r>
    </w:p>
    <w:p w:rsidR="00C03F39" w:rsidRPr="00CA7229" w:rsidRDefault="00C03F39" w:rsidP="00C03F39">
      <w:pPr>
        <w:spacing w:line="312" w:lineRule="auto"/>
        <w:jc w:val="both"/>
        <w:rPr>
          <w:rFonts w:asciiTheme="minorHAnsi" w:hAnsiTheme="minorHAnsi" w:cstheme="minorHAnsi"/>
          <w:sz w:val="24"/>
          <w:szCs w:val="24"/>
        </w:rPr>
      </w:pPr>
    </w:p>
    <w:p w:rsidR="00C03F39" w:rsidRPr="00CA7229" w:rsidRDefault="00C03F39" w:rsidP="00C03F39">
      <w:pPr>
        <w:spacing w:line="312" w:lineRule="auto"/>
        <w:jc w:val="both"/>
        <w:rPr>
          <w:rFonts w:asciiTheme="minorHAnsi" w:hAnsiTheme="minorHAnsi" w:cstheme="minorHAnsi"/>
          <w:sz w:val="24"/>
          <w:szCs w:val="24"/>
        </w:rPr>
      </w:pPr>
      <w:r w:rsidRPr="00CA7229">
        <w:rPr>
          <w:rFonts w:asciiTheme="minorHAnsi" w:hAnsiTheme="minorHAnsi" w:cstheme="minorHAnsi"/>
          <w:color w:val="000000"/>
          <w:sz w:val="24"/>
          <w:szCs w:val="24"/>
        </w:rPr>
        <w:t>Odnosząc ten zarzut do stanu fakt</w:t>
      </w:r>
      <w:r w:rsidR="001D5AD5">
        <w:rPr>
          <w:rFonts w:asciiTheme="minorHAnsi" w:hAnsiTheme="minorHAnsi" w:cstheme="minorHAnsi"/>
          <w:color w:val="000000"/>
          <w:sz w:val="24"/>
          <w:szCs w:val="24"/>
        </w:rPr>
        <w:t>ycznego sprawy skarżący podnosi</w:t>
      </w:r>
      <w:r w:rsidRPr="00CA7229">
        <w:rPr>
          <w:rFonts w:asciiTheme="minorHAnsi" w:hAnsiTheme="minorHAnsi" w:cstheme="minorHAnsi"/>
          <w:color w:val="000000"/>
          <w:sz w:val="24"/>
          <w:szCs w:val="24"/>
        </w:rPr>
        <w:t>, że skoro inwestycja</w:t>
      </w:r>
      <w:r>
        <w:rPr>
          <w:rFonts w:asciiTheme="minorHAnsi" w:hAnsiTheme="minorHAnsi" w:cstheme="minorHAnsi"/>
          <w:color w:val="000000"/>
          <w:sz w:val="24"/>
          <w:szCs w:val="24"/>
        </w:rPr>
        <w:t xml:space="preserve">               </w:t>
      </w:r>
      <w:r w:rsidRPr="00CA7229">
        <w:rPr>
          <w:rFonts w:asciiTheme="minorHAnsi" w:hAnsiTheme="minorHAnsi" w:cstheme="minorHAnsi"/>
          <w:color w:val="000000"/>
          <w:sz w:val="24"/>
          <w:szCs w:val="24"/>
        </w:rPr>
        <w:t xml:space="preserve"> o której mowa w Postanowieniu jest częścią dalej idącego przedsięwzięcia jakim jest, powszechnie znana- </w:t>
      </w:r>
      <w:r w:rsidRPr="00CA7229">
        <w:rPr>
          <w:rFonts w:asciiTheme="minorHAnsi" w:hAnsiTheme="minorHAnsi" w:cstheme="minorHAnsi"/>
          <w:color w:val="000000"/>
          <w:sz w:val="24"/>
          <w:szCs w:val="24"/>
          <w:u w:val="single"/>
        </w:rPr>
        <w:t>realizacja tranzytu towarowego przebudowywaną fragmentary</w:t>
      </w:r>
      <w:r w:rsidR="001D5AD5">
        <w:rPr>
          <w:rFonts w:asciiTheme="minorHAnsi" w:hAnsiTheme="minorHAnsi" w:cstheme="minorHAnsi"/>
          <w:color w:val="000000"/>
          <w:sz w:val="24"/>
          <w:szCs w:val="24"/>
          <w:u w:val="single"/>
        </w:rPr>
        <w:t xml:space="preserve">cznie od kilku lat drogą DK87, </w:t>
      </w:r>
      <w:r w:rsidRPr="00CA7229">
        <w:rPr>
          <w:rFonts w:asciiTheme="minorHAnsi" w:hAnsiTheme="minorHAnsi" w:cstheme="minorHAnsi"/>
          <w:color w:val="000000"/>
          <w:sz w:val="24"/>
          <w:szCs w:val="24"/>
          <w:u w:val="single"/>
        </w:rPr>
        <w:t xml:space="preserve">raport oddziaływania na środowisko winien mieć właściwy zakres                      i odnosić się do całej inwestycji,  a nie wybiórczo do wydzielonych z całego przedsięwzięcia                 i  </w:t>
      </w:r>
      <w:r w:rsidRPr="00CA7229">
        <w:rPr>
          <w:rFonts w:asciiTheme="minorHAnsi" w:hAnsiTheme="minorHAnsi" w:cstheme="minorHAnsi"/>
          <w:color w:val="000000"/>
          <w:sz w:val="24"/>
          <w:szCs w:val="24"/>
        </w:rPr>
        <w:t>w</w:t>
      </w:r>
      <w:r w:rsidRPr="00CA7229">
        <w:rPr>
          <w:rFonts w:asciiTheme="minorHAnsi" w:hAnsiTheme="minorHAnsi" w:cstheme="minorHAnsi"/>
          <w:color w:val="000000"/>
          <w:sz w:val="24"/>
          <w:szCs w:val="24"/>
          <w:u w:val="single"/>
        </w:rPr>
        <w:t>ymienionych w skarżonym postanowieniu jego fragmentów</w:t>
      </w:r>
      <w:r w:rsidRPr="00CA7229">
        <w:rPr>
          <w:rFonts w:asciiTheme="minorHAnsi" w:hAnsiTheme="minorHAnsi" w:cstheme="minorHAnsi"/>
          <w:color w:val="000000"/>
          <w:sz w:val="24"/>
          <w:szCs w:val="24"/>
        </w:rPr>
        <w:t>, co w sposób znaczący może wpłynąć na nierzetelność wniosków końcowych raportu,  ich niewiarygodność, a co za tym idzie, doprowadzić do powstania nieodwracalnych dla środowiska negatywnych skutków. Charakter inwestycji, jej znaczenie dla środowiska naturalnego i życia mieszkańców wymaga rzetelnego rozpoznania i rozstrzygania na każdym etapie postępowa</w:t>
      </w:r>
      <w:r w:rsidR="001D5AD5">
        <w:rPr>
          <w:rFonts w:asciiTheme="minorHAnsi" w:hAnsiTheme="minorHAnsi" w:cstheme="minorHAnsi"/>
          <w:color w:val="000000"/>
          <w:sz w:val="24"/>
          <w:szCs w:val="24"/>
        </w:rPr>
        <w:t xml:space="preserve">nia. Wymaga także  poszanowania </w:t>
      </w:r>
      <w:r w:rsidRPr="00CA7229">
        <w:rPr>
          <w:rFonts w:asciiTheme="minorHAnsi" w:hAnsiTheme="minorHAnsi" w:cstheme="minorHAnsi"/>
          <w:color w:val="000000"/>
          <w:sz w:val="24"/>
          <w:szCs w:val="24"/>
        </w:rPr>
        <w:t>przepisów ograniczających woluntaryzm organów oraz inwestorów, realizujących inwestycje o dużej skali uciążliwości.</w:t>
      </w:r>
    </w:p>
    <w:p w:rsidR="00C03F39" w:rsidRPr="00CA7229" w:rsidRDefault="00C03F39" w:rsidP="00C03F39">
      <w:pPr>
        <w:spacing w:line="312" w:lineRule="auto"/>
        <w:jc w:val="both"/>
        <w:rPr>
          <w:rFonts w:asciiTheme="minorHAnsi" w:hAnsiTheme="minorHAnsi" w:cstheme="minorHAnsi"/>
          <w:sz w:val="24"/>
          <w:szCs w:val="24"/>
        </w:rPr>
      </w:pPr>
      <w:r w:rsidRPr="00CA7229">
        <w:rPr>
          <w:rFonts w:asciiTheme="minorHAnsi" w:hAnsiTheme="minorHAnsi" w:cstheme="minorHAnsi"/>
          <w:b/>
          <w:color w:val="000000"/>
          <w:sz w:val="24"/>
          <w:szCs w:val="24"/>
        </w:rPr>
        <w:tab/>
      </w:r>
    </w:p>
    <w:p w:rsidR="00C03F39" w:rsidRPr="00CA7229" w:rsidRDefault="00C03F39" w:rsidP="00C03F39">
      <w:pPr>
        <w:spacing w:line="312" w:lineRule="auto"/>
        <w:jc w:val="both"/>
        <w:rPr>
          <w:rFonts w:asciiTheme="minorHAnsi" w:hAnsiTheme="minorHAnsi" w:cstheme="minorHAnsi"/>
          <w:sz w:val="24"/>
          <w:szCs w:val="24"/>
        </w:rPr>
      </w:pPr>
      <w:r w:rsidRPr="00CA7229">
        <w:rPr>
          <w:rFonts w:asciiTheme="minorHAnsi" w:hAnsiTheme="minorHAnsi" w:cstheme="minorHAnsi"/>
          <w:b/>
          <w:color w:val="000000"/>
          <w:sz w:val="24"/>
          <w:szCs w:val="24"/>
        </w:rPr>
        <w:t>2.</w:t>
      </w:r>
    </w:p>
    <w:p w:rsidR="00C03F39" w:rsidRPr="00CA7229" w:rsidRDefault="00C03F39" w:rsidP="00C03F39">
      <w:pPr>
        <w:spacing w:line="312" w:lineRule="auto"/>
        <w:jc w:val="both"/>
        <w:rPr>
          <w:rFonts w:asciiTheme="minorHAnsi" w:hAnsiTheme="minorHAnsi" w:cstheme="minorHAnsi"/>
          <w:sz w:val="24"/>
          <w:szCs w:val="24"/>
        </w:rPr>
      </w:pPr>
      <w:r w:rsidRPr="00CA7229">
        <w:rPr>
          <w:rFonts w:asciiTheme="minorHAnsi" w:hAnsiTheme="minorHAnsi" w:cstheme="minorHAnsi"/>
          <w:color w:val="000000"/>
          <w:sz w:val="24"/>
          <w:szCs w:val="24"/>
        </w:rPr>
        <w:t xml:space="preserve">Odwołując się do powyższych zarzutów  </w:t>
      </w:r>
      <w:r w:rsidRPr="00CA7229">
        <w:rPr>
          <w:rFonts w:asciiTheme="minorHAnsi" w:hAnsiTheme="minorHAnsi" w:cstheme="minorHAnsi"/>
          <w:sz w:val="24"/>
          <w:szCs w:val="24"/>
        </w:rPr>
        <w:t xml:space="preserve">wnosimy </w:t>
      </w:r>
      <w:r w:rsidRPr="00CA7229">
        <w:rPr>
          <w:rFonts w:asciiTheme="minorHAnsi" w:hAnsiTheme="minorHAnsi" w:cstheme="minorHAnsi"/>
          <w:bCs/>
          <w:sz w:val="24"/>
          <w:szCs w:val="24"/>
        </w:rPr>
        <w:t xml:space="preserve"> o uchylenie postanowienia </w:t>
      </w:r>
      <w:bookmarkStart w:id="1" w:name="_Hlk57016005"/>
      <w:r w:rsidRPr="00CA7229">
        <w:rPr>
          <w:rFonts w:asciiTheme="minorHAnsi" w:hAnsiTheme="minorHAnsi" w:cstheme="minorHAnsi"/>
          <w:bCs/>
          <w:sz w:val="24"/>
          <w:szCs w:val="24"/>
        </w:rPr>
        <w:t xml:space="preserve">w całości                  </w:t>
      </w:r>
      <w:r w:rsidRPr="00CA7229">
        <w:rPr>
          <w:rFonts w:asciiTheme="minorHAnsi" w:hAnsiTheme="minorHAnsi" w:cstheme="minorHAnsi"/>
          <w:sz w:val="24"/>
          <w:szCs w:val="24"/>
        </w:rPr>
        <w:t xml:space="preserve"> i </w:t>
      </w:r>
      <w:r w:rsidRPr="00CA7229">
        <w:rPr>
          <w:rFonts w:asciiTheme="minorHAnsi" w:hAnsiTheme="minorHAnsi" w:cstheme="minorHAnsi"/>
          <w:bCs/>
          <w:sz w:val="24"/>
          <w:szCs w:val="24"/>
        </w:rPr>
        <w:t>przekazanie sprawy do ponownego rozpoznania organowi I inst</w:t>
      </w:r>
      <w:r w:rsidRPr="00CA7229">
        <w:rPr>
          <w:rFonts w:asciiTheme="minorHAnsi" w:hAnsiTheme="minorHAnsi" w:cstheme="minorHAnsi"/>
          <w:sz w:val="24"/>
          <w:szCs w:val="24"/>
        </w:rPr>
        <w:t>.</w:t>
      </w:r>
      <w:bookmarkEnd w:id="1"/>
      <w:r w:rsidRPr="00CA7229">
        <w:rPr>
          <w:rFonts w:asciiTheme="minorHAnsi" w:hAnsiTheme="minorHAnsi" w:cstheme="minorHAnsi"/>
          <w:sz w:val="24"/>
          <w:szCs w:val="24"/>
        </w:rPr>
        <w:t xml:space="preserve"> domagając  się jednocześnie </w:t>
      </w:r>
      <w:r w:rsidR="001D5AD5">
        <w:rPr>
          <w:rFonts w:asciiTheme="minorHAnsi" w:hAnsiTheme="minorHAnsi" w:cstheme="minorHAnsi"/>
          <w:sz w:val="24"/>
          <w:szCs w:val="24"/>
        </w:rPr>
        <w:t xml:space="preserve">uwzględnienia przez ten organ </w:t>
      </w:r>
      <w:r w:rsidRPr="00CA7229">
        <w:rPr>
          <w:rFonts w:asciiTheme="minorHAnsi" w:hAnsiTheme="minorHAnsi" w:cstheme="minorHAnsi"/>
          <w:sz w:val="24"/>
          <w:szCs w:val="24"/>
        </w:rPr>
        <w:t xml:space="preserve">pominiętych w skarżonym postanowieniu </w:t>
      </w:r>
      <w:r>
        <w:rPr>
          <w:rFonts w:asciiTheme="minorHAnsi" w:hAnsiTheme="minorHAnsi" w:cstheme="minorHAnsi"/>
          <w:sz w:val="24"/>
          <w:szCs w:val="24"/>
        </w:rPr>
        <w:t xml:space="preserve">                </w:t>
      </w:r>
      <w:r w:rsidRPr="00CA7229">
        <w:rPr>
          <w:rFonts w:asciiTheme="minorHAnsi" w:hAnsiTheme="minorHAnsi" w:cstheme="minorHAnsi"/>
          <w:sz w:val="24"/>
          <w:szCs w:val="24"/>
        </w:rPr>
        <w:t>(w punkcie nakładającym na inwestora obowiązki),  istotnych dla przedsięwzięcia  elementów             w tym podstawowego wymogu, jakim jest określenie rzeczywistej skali przedsięwzięcia                         i prawdziwych jego rozmiarów. Nie uwzględnienie w postanowieniu, a w konsekwencji                     w raporcie,  okoliczności mających przesądzający wpływ na r</w:t>
      </w:r>
      <w:r w:rsidR="001D5AD5" w:rsidRPr="00CA7229">
        <w:rPr>
          <w:rFonts w:asciiTheme="minorHAnsi" w:hAnsiTheme="minorHAnsi" w:cstheme="minorHAnsi"/>
          <w:sz w:val="24"/>
          <w:szCs w:val="24"/>
        </w:rPr>
        <w:t>dobór  k</w:t>
      </w:r>
      <w:r w:rsidRPr="00CA7229">
        <w:rPr>
          <w:rFonts w:asciiTheme="minorHAnsi" w:hAnsiTheme="minorHAnsi" w:cstheme="minorHAnsi"/>
          <w:sz w:val="24"/>
          <w:szCs w:val="24"/>
        </w:rPr>
        <w:t>yteriów oceny o których mowa w a</w:t>
      </w:r>
      <w:r w:rsidRPr="00CA7229">
        <w:rPr>
          <w:rFonts w:asciiTheme="minorHAnsi" w:hAnsiTheme="minorHAnsi" w:cstheme="minorHAnsi"/>
          <w:bCs/>
          <w:color w:val="000000"/>
          <w:sz w:val="24"/>
          <w:szCs w:val="24"/>
        </w:rPr>
        <w:t>rt. 63. powołanej na wstępie ustawy, zdaniem skarżącego wyklucza możliwo</w:t>
      </w:r>
      <w:r w:rsidRPr="00CA7229">
        <w:rPr>
          <w:rFonts w:asciiTheme="minorHAnsi" w:hAnsiTheme="minorHAnsi" w:cstheme="minorHAnsi"/>
          <w:bCs/>
          <w:shadow/>
          <w:color w:val="000000"/>
          <w:sz w:val="24"/>
          <w:szCs w:val="24"/>
        </w:rPr>
        <w:t>ść</w:t>
      </w:r>
      <w:r w:rsidRPr="00CA7229">
        <w:rPr>
          <w:rFonts w:asciiTheme="minorHAnsi" w:hAnsiTheme="minorHAnsi" w:cstheme="minorHAnsi"/>
          <w:sz w:val="24"/>
          <w:szCs w:val="24"/>
        </w:rPr>
        <w:t xml:space="preserve"> uzyskania prawidłowej oceny skutków oddziaływania tej  inwestycji.</w:t>
      </w:r>
    </w:p>
    <w:p w:rsidR="00C03F39" w:rsidRPr="00CA7229" w:rsidRDefault="00C03F39" w:rsidP="00C03F39">
      <w:pPr>
        <w:spacing w:line="312" w:lineRule="auto"/>
        <w:rPr>
          <w:rFonts w:asciiTheme="minorHAnsi" w:hAnsiTheme="minorHAnsi" w:cstheme="minorHAnsi"/>
          <w:sz w:val="24"/>
          <w:szCs w:val="24"/>
        </w:rPr>
      </w:pPr>
    </w:p>
    <w:p w:rsidR="00C03F39" w:rsidRPr="00CA7229" w:rsidRDefault="00C03F39" w:rsidP="00C03F39">
      <w:pPr>
        <w:spacing w:line="312" w:lineRule="auto"/>
        <w:jc w:val="center"/>
        <w:rPr>
          <w:rFonts w:asciiTheme="minorHAnsi" w:hAnsiTheme="minorHAnsi" w:cstheme="minorHAnsi"/>
          <w:sz w:val="24"/>
          <w:szCs w:val="24"/>
        </w:rPr>
      </w:pPr>
      <w:r w:rsidRPr="00CA7229">
        <w:rPr>
          <w:rFonts w:asciiTheme="minorHAnsi" w:hAnsiTheme="minorHAnsi" w:cstheme="minorHAnsi"/>
          <w:b/>
          <w:sz w:val="24"/>
          <w:szCs w:val="24"/>
        </w:rPr>
        <w:t>U Z A S A D N I E N I E</w:t>
      </w:r>
    </w:p>
    <w:p w:rsidR="00C03F39" w:rsidRPr="00CA7229" w:rsidRDefault="00C03F39" w:rsidP="00C03F39">
      <w:pPr>
        <w:spacing w:line="312" w:lineRule="auto"/>
        <w:jc w:val="center"/>
        <w:rPr>
          <w:rFonts w:asciiTheme="minorHAnsi" w:hAnsiTheme="minorHAnsi" w:cstheme="minorHAnsi"/>
          <w:sz w:val="24"/>
          <w:szCs w:val="24"/>
        </w:rPr>
      </w:pPr>
    </w:p>
    <w:p w:rsidR="00C03F39" w:rsidRPr="00CA7229" w:rsidRDefault="00C03F39" w:rsidP="00C03F39">
      <w:pPr>
        <w:spacing w:line="312" w:lineRule="auto"/>
        <w:ind w:firstLine="708"/>
        <w:jc w:val="both"/>
        <w:rPr>
          <w:rStyle w:val="Pogrubienie"/>
          <w:rFonts w:asciiTheme="minorHAnsi" w:hAnsiTheme="minorHAnsi" w:cstheme="minorHAnsi"/>
          <w:color w:val="000000"/>
          <w:sz w:val="24"/>
          <w:szCs w:val="24"/>
          <w:shd w:val="clear" w:color="auto" w:fill="FFFFFF"/>
        </w:rPr>
      </w:pPr>
      <w:r w:rsidRPr="00CA7229">
        <w:rPr>
          <w:rFonts w:asciiTheme="minorHAnsi" w:hAnsiTheme="minorHAnsi" w:cstheme="minorHAnsi"/>
          <w:sz w:val="24"/>
          <w:szCs w:val="24"/>
        </w:rPr>
        <w:t xml:space="preserve">Burmistrz Piwnicznej Zdroju obwieszczeniem z dnia 26 lipca 2022 r. zawiadomił strony postępowania o wydaniu w dniu </w:t>
      </w:r>
      <w:r w:rsidRPr="00CA7229">
        <w:rPr>
          <w:rFonts w:asciiTheme="minorHAnsi" w:hAnsiTheme="minorHAnsi" w:cstheme="minorHAnsi"/>
          <w:color w:val="000000"/>
          <w:sz w:val="24"/>
          <w:szCs w:val="24"/>
          <w:shd w:val="clear" w:color="auto" w:fill="FFFFFF"/>
        </w:rPr>
        <w:t>26 lipca 2022 r. – znak: GL.6220.4.2022, </w:t>
      </w:r>
      <w:r w:rsidRPr="00CA7229">
        <w:rPr>
          <w:rStyle w:val="Pogrubienie"/>
          <w:rFonts w:asciiTheme="minorHAnsi" w:hAnsiTheme="minorHAnsi" w:cstheme="minorHAnsi"/>
          <w:color w:val="000000"/>
          <w:sz w:val="24"/>
          <w:szCs w:val="24"/>
          <w:shd w:val="clear" w:color="auto" w:fill="FFFFFF"/>
        </w:rPr>
        <w:t>postanowienia                 o konieczności oceny oddziaływania na środowisko dla przedsięwzięcia pn.: „Budowa obwodnicy Piwnicznej w ciągu drogi DK 87”.</w:t>
      </w:r>
    </w:p>
    <w:p w:rsidR="00C03F39" w:rsidRPr="00CA7229" w:rsidRDefault="00C03F39" w:rsidP="00C03F39">
      <w:pPr>
        <w:pStyle w:val="ng-scope"/>
        <w:shd w:val="clear" w:color="auto" w:fill="FFFFFF"/>
        <w:spacing w:before="0" w:beforeAutospacing="0" w:after="0" w:afterAutospacing="0" w:line="312" w:lineRule="auto"/>
        <w:jc w:val="both"/>
        <w:rPr>
          <w:rFonts w:asciiTheme="minorHAnsi" w:hAnsiTheme="minorHAnsi" w:cstheme="minorHAnsi"/>
          <w:color w:val="000000"/>
        </w:rPr>
      </w:pPr>
      <w:r w:rsidRPr="00CA7229">
        <w:rPr>
          <w:rFonts w:asciiTheme="minorHAnsi" w:hAnsiTheme="minorHAnsi" w:cstheme="minorHAnsi"/>
        </w:rPr>
        <w:t xml:space="preserve">Jednocześnie poinformował </w:t>
      </w:r>
      <w:r w:rsidRPr="00CA7229">
        <w:rPr>
          <w:rFonts w:asciiTheme="minorHAnsi" w:hAnsiTheme="minorHAnsi" w:cstheme="minorHAnsi"/>
          <w:color w:val="000000"/>
        </w:rPr>
        <w:t>o możliwości wniesienia zażalenia na powyższe postanowienie do Samorządowego Kolegium Odwoławczego w Nowym Sączu za pośrednictwem Burmistrza Piwnicznej-Zdroju, w  terminie 7 dni od daty jego doręczenia, które następuje  po upływie 14 dni od dnia, w którym nastąpiło publiczne obwieszczenie.</w:t>
      </w:r>
    </w:p>
    <w:p w:rsidR="00C03F39" w:rsidRPr="00CA7229" w:rsidRDefault="00C03F39" w:rsidP="00C03F39">
      <w:pPr>
        <w:spacing w:line="312" w:lineRule="auto"/>
        <w:ind w:firstLine="708"/>
        <w:jc w:val="both"/>
        <w:rPr>
          <w:rFonts w:asciiTheme="minorHAnsi" w:hAnsiTheme="minorHAnsi" w:cstheme="minorHAnsi"/>
          <w:sz w:val="24"/>
          <w:szCs w:val="24"/>
        </w:rPr>
      </w:pPr>
      <w:r w:rsidRPr="00CA7229">
        <w:rPr>
          <w:rFonts w:asciiTheme="minorHAnsi" w:hAnsiTheme="minorHAnsi" w:cstheme="minorHAnsi"/>
          <w:sz w:val="24"/>
          <w:szCs w:val="24"/>
        </w:rPr>
        <w:t xml:space="preserve">Przedmiotowe postanowienie zostało wydane bez wcześniejszego ustalenia </w:t>
      </w:r>
      <w:r w:rsidRPr="00CA7229">
        <w:rPr>
          <w:rFonts w:asciiTheme="minorHAnsi" w:hAnsiTheme="minorHAnsi" w:cstheme="minorHAnsi"/>
          <w:sz w:val="24"/>
          <w:szCs w:val="24"/>
        </w:rPr>
        <w:lastRenderedPageBreak/>
        <w:t>wszystkich okoliczności faktycznych sprawy.</w:t>
      </w:r>
    </w:p>
    <w:p w:rsidR="00C03F39" w:rsidRPr="00CA7229" w:rsidRDefault="00C03F39" w:rsidP="00C03F39">
      <w:pPr>
        <w:spacing w:line="312" w:lineRule="auto"/>
        <w:ind w:firstLine="708"/>
        <w:jc w:val="both"/>
        <w:rPr>
          <w:rFonts w:asciiTheme="minorHAnsi" w:hAnsiTheme="minorHAnsi" w:cstheme="minorHAnsi"/>
          <w:sz w:val="24"/>
          <w:szCs w:val="24"/>
        </w:rPr>
      </w:pPr>
      <w:r w:rsidRPr="00CA7229">
        <w:rPr>
          <w:rFonts w:asciiTheme="minorHAnsi" w:hAnsiTheme="minorHAnsi" w:cstheme="minorHAnsi"/>
          <w:sz w:val="24"/>
          <w:szCs w:val="24"/>
        </w:rPr>
        <w:t>Już we wniosku o wydanie decyzji o środowiskowych uwarunkowaniach dla przedmiotowego przedsięwzięcia z dnia  11 maja 2022 r., znak: L.dz.MP-MOSTY/441/P/1/22-1/633 wskazano, że planuje się znieść ograniczenie tonażu po stronie słowackiej.  Powyższe             z przyczyn oczywistych spowoduje możliwość realizacji większego przedsięwzięcia jakim jest wprowadzenie ciężarowego ruchu tranzytowego przez przejście graniczne Piwniczna –Mniszek n/Popradem, i dalej całą Dolina Popradu, a planowana budowa obwodnicy Piwnicznej jest jednym z elementów tego przedsięwzięcia niezbędnym dla jego  realizacji.</w:t>
      </w:r>
    </w:p>
    <w:p w:rsidR="00C03F39" w:rsidRPr="00CA7229" w:rsidRDefault="00C03F39" w:rsidP="00C03F39">
      <w:pPr>
        <w:spacing w:line="312" w:lineRule="auto"/>
        <w:ind w:firstLine="708"/>
        <w:jc w:val="both"/>
        <w:rPr>
          <w:rFonts w:asciiTheme="minorHAnsi" w:hAnsiTheme="minorHAnsi" w:cstheme="minorHAnsi"/>
          <w:sz w:val="24"/>
          <w:szCs w:val="24"/>
        </w:rPr>
      </w:pPr>
      <w:r w:rsidRPr="00CA7229">
        <w:rPr>
          <w:rFonts w:asciiTheme="minorHAnsi" w:hAnsiTheme="minorHAnsi" w:cstheme="minorHAnsi"/>
          <w:sz w:val="24"/>
          <w:szCs w:val="24"/>
        </w:rPr>
        <w:t xml:space="preserve">We wniosku sugerowane jest również, że wprowadzenie ruchu ciężarowego ma związek z podpisaną w dniu 23 listopada 2004 r. umową  Rzeczypospolitej Polskiej z Rządem Republiki Słowackiej </w:t>
      </w:r>
      <w:r w:rsidR="00753ECB">
        <w:rPr>
          <w:rFonts w:asciiTheme="minorHAnsi" w:hAnsiTheme="minorHAnsi" w:cstheme="minorHAnsi"/>
          <w:sz w:val="24"/>
          <w:szCs w:val="24"/>
        </w:rPr>
        <w:t xml:space="preserve">dotyczącą </w:t>
      </w:r>
      <w:r w:rsidRPr="00CA7229">
        <w:rPr>
          <w:rFonts w:asciiTheme="minorHAnsi" w:hAnsiTheme="minorHAnsi" w:cstheme="minorHAnsi"/>
          <w:sz w:val="24"/>
          <w:szCs w:val="24"/>
        </w:rPr>
        <w:t xml:space="preserve">nowego połączenia drogowego i mostu granicznego przez rzekę Poprad w rejonie miejscowości Piwniczna i Mniszek w wyniku, której zawarty został wybudowany most na rzece Poprad. Nie znajduje to jednak potwierdzenia w samej umowie  z której kopią udało się zapoznać w związku z jej udostępnieniem przez Generalna Dyrekcję Dróg krajowych i Autostrad w ramach dostępu do informacji publicznej. Zwracamy się więc             o zapoznanie z dokumentem tejże umowy gdyż z powyższego wynika, że pomysł wprowadzenie tranzytowego ruchu ciężarowego Dolina Popradu powstał wraz z pomysłem realizacji Budowy obwodnicy Piwnicznej. </w:t>
      </w:r>
    </w:p>
    <w:p w:rsidR="00C03F39" w:rsidRPr="00CA7229" w:rsidRDefault="00C03F39" w:rsidP="00C03F39">
      <w:pPr>
        <w:spacing w:line="312" w:lineRule="auto"/>
        <w:ind w:firstLine="708"/>
        <w:jc w:val="both"/>
        <w:rPr>
          <w:rFonts w:asciiTheme="minorHAnsi" w:hAnsiTheme="minorHAnsi" w:cstheme="minorHAnsi"/>
          <w:sz w:val="24"/>
          <w:szCs w:val="24"/>
        </w:rPr>
      </w:pPr>
      <w:r w:rsidRPr="00CA7229">
        <w:rPr>
          <w:rFonts w:asciiTheme="minorHAnsi" w:hAnsiTheme="minorHAnsi" w:cstheme="minorHAnsi"/>
          <w:sz w:val="24"/>
          <w:szCs w:val="24"/>
        </w:rPr>
        <w:t xml:space="preserve">Planowana budowa obwodnicy Piwnicznej nie powinna być rozpatrywana wraz </w:t>
      </w:r>
      <w:r>
        <w:rPr>
          <w:rFonts w:asciiTheme="minorHAnsi" w:hAnsiTheme="minorHAnsi" w:cstheme="minorHAnsi"/>
          <w:sz w:val="24"/>
          <w:szCs w:val="24"/>
        </w:rPr>
        <w:t xml:space="preserve">                     </w:t>
      </w:r>
      <w:r w:rsidRPr="00CA7229">
        <w:rPr>
          <w:rFonts w:asciiTheme="minorHAnsi" w:hAnsiTheme="minorHAnsi" w:cstheme="minorHAnsi"/>
          <w:sz w:val="24"/>
          <w:szCs w:val="24"/>
        </w:rPr>
        <w:t xml:space="preserve">z innymi zamierzeniami GDDKiA </w:t>
      </w:r>
      <w:r w:rsidR="00753ECB">
        <w:rPr>
          <w:rFonts w:asciiTheme="minorHAnsi" w:hAnsiTheme="minorHAnsi" w:cstheme="minorHAnsi"/>
          <w:sz w:val="24"/>
          <w:szCs w:val="24"/>
        </w:rPr>
        <w:t xml:space="preserve"> </w:t>
      </w:r>
      <w:r w:rsidRPr="00CA7229">
        <w:rPr>
          <w:rFonts w:asciiTheme="minorHAnsi" w:hAnsiTheme="minorHAnsi" w:cstheme="minorHAnsi"/>
          <w:sz w:val="24"/>
          <w:szCs w:val="24"/>
        </w:rPr>
        <w:t>jako odrębne przedsięwzięcie ale jako jedno przedsięwzięcie polegające na wprowadzeniu tranzytowego ruchu ciężarowego przez przejście graniczne Piwniczna –Mniszek n/Popradem. Powyższe pozwoliłoby na prawidłową ocenę skutków tego zamierzenia na środowisko w tym przede wszystkim możliwość rozpatrzenia wariantów alternatywnych dla wprowadzenia tranzytowego ruchu ciężarowego w obrębie Beskidu Sadeckiego. Sugerowanie już we wniosku o wydanie decyzji o środowiskowych uwarunkowaniach dla „Budowy obwodnicy Piwnicznej”, że „</w:t>
      </w:r>
      <w:r w:rsidRPr="00CA7229">
        <w:rPr>
          <w:rFonts w:asciiTheme="minorHAnsi" w:hAnsiTheme="minorHAnsi" w:cstheme="minorHAnsi"/>
          <w:i/>
          <w:sz w:val="24"/>
          <w:szCs w:val="24"/>
        </w:rPr>
        <w:t>Droga krajowa nr 75 Nowy Sącz-Muszynka ze względu na wyniki analizy ekonomicznej, prognozowane natężenia ruchu, względy ekologiczne oraz połączenie DK 75 z drogą powiatową nr 544005 po stronie Słowackiej powoduje, że droga ta nie może służyć m.in. tranzytowemu ruchowi ciężarowemu ze Słowacji”</w:t>
      </w:r>
      <w:r w:rsidRPr="00CA7229">
        <w:rPr>
          <w:rFonts w:asciiTheme="minorHAnsi" w:hAnsiTheme="minorHAnsi" w:cstheme="minorHAnsi"/>
          <w:sz w:val="24"/>
          <w:szCs w:val="24"/>
        </w:rPr>
        <w:t xml:space="preserve"> jest mojej ocenie nadużyciem, a stwierdzenia takie powinny być poprzedzone rzetelną analizą na etapie raportu oddziaływania na środowisko w którym to możliwość wprowadzenia tranzytowego ruchu ciężarowego przez przejście graniczne w Muszynka -Kurov powinno być  jednym z wariantów, a zakres raportu określony w postanowieniu Burmistrza Piwnicznej Zdroju z dnia 22.07.2022 r., znak: GL.6220.4.2022 pomija w zupełności ta kwestię. Podkreślić należy również, że w żadnym z prowadzonych postępowań </w:t>
      </w:r>
      <w:r w:rsidR="00753ECB">
        <w:rPr>
          <w:rFonts w:asciiTheme="minorHAnsi" w:hAnsiTheme="minorHAnsi" w:cstheme="minorHAnsi"/>
          <w:sz w:val="24"/>
          <w:szCs w:val="24"/>
        </w:rPr>
        <w:t xml:space="preserve">na wniosek </w:t>
      </w:r>
      <w:r w:rsidRPr="00CA7229">
        <w:rPr>
          <w:rFonts w:asciiTheme="minorHAnsi" w:hAnsiTheme="minorHAnsi" w:cstheme="minorHAnsi"/>
          <w:sz w:val="24"/>
          <w:szCs w:val="24"/>
        </w:rPr>
        <w:t xml:space="preserve"> GDDKiA </w:t>
      </w:r>
      <w:r w:rsidR="00753ECB">
        <w:rPr>
          <w:rFonts w:asciiTheme="minorHAnsi" w:hAnsiTheme="minorHAnsi" w:cstheme="minorHAnsi"/>
          <w:sz w:val="24"/>
          <w:szCs w:val="24"/>
        </w:rPr>
        <w:t xml:space="preserve">w obrębię DK 87 </w:t>
      </w:r>
      <w:r w:rsidRPr="00CA7229">
        <w:rPr>
          <w:rFonts w:asciiTheme="minorHAnsi" w:hAnsiTheme="minorHAnsi" w:cstheme="minorHAnsi"/>
          <w:sz w:val="24"/>
          <w:szCs w:val="24"/>
        </w:rPr>
        <w:t>nie był poddawany ocenie środowiskowej tranzytowy ruch pojazdów ciężarowyc</w:t>
      </w:r>
      <w:r>
        <w:rPr>
          <w:rFonts w:asciiTheme="minorHAnsi" w:hAnsiTheme="minorHAnsi" w:cstheme="minorHAnsi"/>
          <w:sz w:val="24"/>
          <w:szCs w:val="24"/>
        </w:rPr>
        <w:t>h przez przejście graniczne Piwn</w:t>
      </w:r>
      <w:r w:rsidRPr="00CA7229">
        <w:rPr>
          <w:rFonts w:asciiTheme="minorHAnsi" w:hAnsiTheme="minorHAnsi" w:cstheme="minorHAnsi"/>
          <w:sz w:val="24"/>
          <w:szCs w:val="24"/>
        </w:rPr>
        <w:t>iczna –Mniszek n/Popradem.</w:t>
      </w:r>
    </w:p>
    <w:p w:rsidR="00C03F39" w:rsidRPr="00CA7229" w:rsidRDefault="00C03F39" w:rsidP="00C03F39">
      <w:pPr>
        <w:spacing w:line="312" w:lineRule="auto"/>
        <w:ind w:firstLine="708"/>
        <w:jc w:val="both"/>
        <w:rPr>
          <w:rFonts w:asciiTheme="minorHAnsi" w:hAnsiTheme="minorHAnsi" w:cstheme="minorHAnsi"/>
          <w:sz w:val="24"/>
          <w:szCs w:val="24"/>
        </w:rPr>
      </w:pPr>
      <w:r w:rsidRPr="00CA7229">
        <w:rPr>
          <w:rFonts w:asciiTheme="minorHAnsi" w:hAnsiTheme="minorHAnsi" w:cstheme="minorHAnsi"/>
          <w:b/>
          <w:sz w:val="24"/>
          <w:szCs w:val="24"/>
        </w:rPr>
        <w:lastRenderedPageBreak/>
        <w:t>Ocenę przeprowadzoną tylko dla budowy obwodnicy Piwnicznej można traktować jako celowe ominięcie konieczności wskazania wariantów alternatywnych mniej szkodliwych dla środowiska</w:t>
      </w:r>
      <w:r w:rsidRPr="00CA7229">
        <w:rPr>
          <w:rFonts w:asciiTheme="minorHAnsi" w:hAnsiTheme="minorHAnsi" w:cstheme="minorHAnsi"/>
          <w:sz w:val="24"/>
          <w:szCs w:val="24"/>
        </w:rPr>
        <w:t xml:space="preserve"> i pozbawienie części społeczeństwa do możliwości bycia stroną postępowania, a także celowe ominięcie konieczności przeprowadzenia transgranicznej oceny oddziaływania na środowisko w tym przypadku na środowisko Słowacji,  które z uwagi na cel inwestycji jakim jest wprowadzenie ciężkiego ruchu tranzytowego niewątpliwie nastąpi.</w:t>
      </w:r>
    </w:p>
    <w:p w:rsidR="00C03F39" w:rsidRPr="00CA7229" w:rsidRDefault="00C03F39" w:rsidP="00C03F39">
      <w:pPr>
        <w:spacing w:line="312" w:lineRule="auto"/>
        <w:jc w:val="both"/>
        <w:rPr>
          <w:rFonts w:asciiTheme="minorHAnsi" w:hAnsiTheme="minorHAnsi" w:cstheme="minorHAnsi"/>
          <w:sz w:val="24"/>
          <w:szCs w:val="24"/>
        </w:rPr>
      </w:pPr>
      <w:r w:rsidRPr="00CA7229">
        <w:rPr>
          <w:rFonts w:asciiTheme="minorHAnsi" w:hAnsiTheme="minorHAnsi" w:cstheme="minorHAnsi"/>
          <w:sz w:val="24"/>
          <w:szCs w:val="24"/>
        </w:rPr>
        <w:t>Dlatego też aby jak najwcześniej wykluczyć możliwość realizacji przedsięwzięć mogących zagrażać środowisku w tym w szczególności znacząco negatywnie oddziaływujących na obszary Natura 2000 powinno się na jak najwcześniejszym etapie planowanego przedsięwzięcia rozpatrzeć warianty alternatywne</w:t>
      </w:r>
      <w:r w:rsidR="00753ECB">
        <w:rPr>
          <w:rFonts w:asciiTheme="minorHAnsi" w:hAnsiTheme="minorHAnsi" w:cstheme="minorHAnsi"/>
          <w:sz w:val="24"/>
          <w:szCs w:val="24"/>
        </w:rPr>
        <w:t xml:space="preserve"> oraz rozpocząć procedurę trans granicznego oddziaływania na środowisko planowanego wprowadzenia tranzytowego ruchu pojazdów ciężarowych</w:t>
      </w:r>
      <w:r w:rsidRPr="00CA7229">
        <w:rPr>
          <w:rFonts w:asciiTheme="minorHAnsi" w:hAnsiTheme="minorHAnsi" w:cstheme="minorHAnsi"/>
          <w:sz w:val="24"/>
          <w:szCs w:val="24"/>
        </w:rPr>
        <w:t>.</w:t>
      </w:r>
    </w:p>
    <w:p w:rsidR="00C03F39" w:rsidRPr="00CA7229" w:rsidRDefault="00C03F39" w:rsidP="00C03F39">
      <w:pPr>
        <w:spacing w:line="312" w:lineRule="auto"/>
        <w:jc w:val="both"/>
        <w:rPr>
          <w:rFonts w:asciiTheme="minorHAnsi" w:hAnsiTheme="minorHAnsi" w:cstheme="minorHAnsi"/>
          <w:sz w:val="24"/>
          <w:szCs w:val="24"/>
        </w:rPr>
      </w:pPr>
      <w:r w:rsidRPr="00CA7229">
        <w:rPr>
          <w:rFonts w:asciiTheme="minorHAnsi" w:hAnsiTheme="minorHAnsi" w:cstheme="minorHAnsi"/>
          <w:sz w:val="24"/>
          <w:szCs w:val="24"/>
        </w:rPr>
        <w:t>Powyższe jest zgodne Dyrektywami:</w:t>
      </w:r>
    </w:p>
    <w:p w:rsidR="00C03F39" w:rsidRPr="00CA7229" w:rsidRDefault="00C03F39" w:rsidP="00C03F39">
      <w:pPr>
        <w:pStyle w:val="Akapitzlist"/>
        <w:numPr>
          <w:ilvl w:val="0"/>
          <w:numId w:val="4"/>
        </w:numPr>
        <w:spacing w:line="312" w:lineRule="auto"/>
        <w:jc w:val="both"/>
        <w:rPr>
          <w:rFonts w:asciiTheme="minorHAnsi" w:hAnsiTheme="minorHAnsi" w:cstheme="minorHAnsi"/>
          <w:sz w:val="24"/>
          <w:szCs w:val="24"/>
        </w:rPr>
      </w:pPr>
      <w:r w:rsidRPr="00CA7229">
        <w:rPr>
          <w:rFonts w:asciiTheme="minorHAnsi" w:hAnsiTheme="minorHAnsi" w:cstheme="minorHAnsi"/>
          <w:sz w:val="24"/>
          <w:szCs w:val="24"/>
        </w:rPr>
        <w:t>Parlamentu Europejskiego i Rady 2011/92/UE z dnia 13 grudnia 2011 r. w sprawie oceny skutków wywieranych przez niektóre przedsięwzięcia publiczne i prywatne na środowisko naturalne (EIA);</w:t>
      </w:r>
    </w:p>
    <w:p w:rsidR="00C03F39" w:rsidRPr="00CA7229" w:rsidRDefault="00C03F39" w:rsidP="00C03F39">
      <w:pPr>
        <w:pStyle w:val="Akapitzlist"/>
        <w:numPr>
          <w:ilvl w:val="0"/>
          <w:numId w:val="4"/>
        </w:numPr>
        <w:spacing w:line="312" w:lineRule="auto"/>
        <w:jc w:val="both"/>
        <w:rPr>
          <w:rFonts w:asciiTheme="minorHAnsi" w:hAnsiTheme="minorHAnsi" w:cstheme="minorHAnsi"/>
          <w:sz w:val="24"/>
          <w:szCs w:val="24"/>
        </w:rPr>
      </w:pPr>
      <w:r w:rsidRPr="00CA7229">
        <w:rPr>
          <w:rFonts w:asciiTheme="minorHAnsi" w:hAnsiTheme="minorHAnsi" w:cstheme="minorHAnsi"/>
          <w:sz w:val="24"/>
          <w:szCs w:val="24"/>
        </w:rPr>
        <w:t>Parlamentu Europejskiego i Rady 2001/42/WE z dnia 27 czerwca 2001 r. w sprawie oceny wpływu niektórych planów i programów na środowisko (SEA)</w:t>
      </w:r>
    </w:p>
    <w:p w:rsidR="00C03F39" w:rsidRPr="00CA7229" w:rsidRDefault="00C03F39" w:rsidP="00C03F39">
      <w:pPr>
        <w:pStyle w:val="Akapitzlist"/>
        <w:numPr>
          <w:ilvl w:val="0"/>
          <w:numId w:val="4"/>
        </w:numPr>
        <w:spacing w:line="312" w:lineRule="auto"/>
        <w:jc w:val="both"/>
        <w:rPr>
          <w:rFonts w:asciiTheme="minorHAnsi" w:hAnsiTheme="minorHAnsi" w:cstheme="minorHAnsi"/>
          <w:sz w:val="24"/>
          <w:szCs w:val="24"/>
        </w:rPr>
      </w:pPr>
      <w:r w:rsidRPr="00CA7229">
        <w:rPr>
          <w:rFonts w:asciiTheme="minorHAnsi" w:hAnsiTheme="minorHAnsi" w:cstheme="minorHAnsi"/>
          <w:sz w:val="24"/>
          <w:szCs w:val="24"/>
        </w:rPr>
        <w:t xml:space="preserve">Rady 92/43/EWG z dnia 21 maja 1992 r. w sprawie ochrony siedlisk przyrodniczych oraz dzikiej fauny i flory (Dyrektywa siedliskowa), </w:t>
      </w:r>
    </w:p>
    <w:p w:rsidR="00C03F39" w:rsidRPr="00CA7229" w:rsidRDefault="00C03F39" w:rsidP="00C03F39">
      <w:pPr>
        <w:spacing w:line="312" w:lineRule="auto"/>
        <w:jc w:val="both"/>
        <w:rPr>
          <w:rFonts w:asciiTheme="minorHAnsi" w:hAnsiTheme="minorHAnsi" w:cstheme="minorHAnsi"/>
          <w:sz w:val="24"/>
          <w:szCs w:val="24"/>
        </w:rPr>
      </w:pPr>
      <w:r w:rsidRPr="00CA7229">
        <w:rPr>
          <w:rFonts w:asciiTheme="minorHAnsi" w:hAnsiTheme="minorHAnsi" w:cstheme="minorHAnsi"/>
          <w:sz w:val="24"/>
          <w:szCs w:val="24"/>
        </w:rPr>
        <w:t>które to dyrektywy transponowane są obecnie ustawą z 3 października 2008 r.                                     o udostępnianiu informacji o środowisku i jego ochronie, udziale społeczeństwa w ochronie środowiska oraz  o ocenach oddziaływania na środowisko.</w:t>
      </w:r>
    </w:p>
    <w:p w:rsidR="00C03F39" w:rsidRPr="00CA7229" w:rsidRDefault="00C03F39" w:rsidP="00C03F39">
      <w:pPr>
        <w:spacing w:line="312" w:lineRule="auto"/>
        <w:jc w:val="both"/>
        <w:rPr>
          <w:rFonts w:asciiTheme="minorHAnsi" w:hAnsiTheme="minorHAnsi" w:cstheme="minorHAnsi"/>
          <w:sz w:val="24"/>
          <w:szCs w:val="24"/>
        </w:rPr>
      </w:pPr>
      <w:r w:rsidRPr="00CA7229">
        <w:rPr>
          <w:rFonts w:asciiTheme="minorHAnsi" w:hAnsiTheme="minorHAnsi" w:cstheme="minorHAnsi"/>
          <w:sz w:val="24"/>
          <w:szCs w:val="24"/>
        </w:rPr>
        <w:t>Karta informacyjna przedsięwzięcia jako dokument obligatoryjnie dołączany do wniosku                     o uzyskanie decyzji środowiskowej podlega takiej samej ocenie, jak inne dowody, zgodnie                  z zasadą swobodnej oceny dowodów wynikającą z art. 80 kodeksu postępowania administracyjnego (</w:t>
      </w:r>
      <w:r>
        <w:rPr>
          <w:rFonts w:asciiTheme="minorHAnsi" w:hAnsiTheme="minorHAnsi" w:cstheme="minorHAnsi"/>
          <w:sz w:val="24"/>
          <w:szCs w:val="24"/>
        </w:rPr>
        <w:t>Dz</w:t>
      </w:r>
      <w:r>
        <w:t>. U. z 2021 r. poz. 735</w:t>
      </w:r>
      <w:r w:rsidRPr="00CA7229">
        <w:rPr>
          <w:rFonts w:asciiTheme="minorHAnsi" w:hAnsiTheme="minorHAnsi" w:cstheme="minorHAnsi"/>
          <w:sz w:val="24"/>
          <w:szCs w:val="24"/>
        </w:rPr>
        <w:t xml:space="preserve">) Przepis ten stanowi, iż organ administracji publicznej ocenia na podstawie całokształtu materiału dowodowego, czy dana okoliczność została udowodniona. Stosownie do art. 107 § 3 k.p.a. (który ma również zastosowanie do postanowień) uzasadnienie faktyczne decyzji powinno w szczególności zawierać wskazanie faktów, które organ uznał za udowodnione, dowodów, na których się oparł, oraz przyczyn, </w:t>
      </w:r>
      <w:r>
        <w:rPr>
          <w:rFonts w:asciiTheme="minorHAnsi" w:hAnsiTheme="minorHAnsi" w:cstheme="minorHAnsi"/>
          <w:sz w:val="24"/>
          <w:szCs w:val="24"/>
        </w:rPr>
        <w:t xml:space="preserve">               </w:t>
      </w:r>
      <w:r w:rsidRPr="00CA7229">
        <w:rPr>
          <w:rFonts w:asciiTheme="minorHAnsi" w:hAnsiTheme="minorHAnsi" w:cstheme="minorHAnsi"/>
          <w:sz w:val="24"/>
          <w:szCs w:val="24"/>
        </w:rPr>
        <w:t>z powodu których innym dowodom odmówił wiarygodności i mocy dowodowej.</w:t>
      </w:r>
    </w:p>
    <w:p w:rsidR="00C03F39" w:rsidRPr="00CA7229" w:rsidRDefault="00C03F39" w:rsidP="00C03F39">
      <w:pPr>
        <w:spacing w:line="312" w:lineRule="auto"/>
        <w:jc w:val="both"/>
        <w:rPr>
          <w:rFonts w:asciiTheme="minorHAnsi" w:hAnsiTheme="minorHAnsi" w:cstheme="minorHAnsi"/>
          <w:sz w:val="24"/>
          <w:szCs w:val="24"/>
        </w:rPr>
      </w:pPr>
      <w:r w:rsidRPr="00CA7229">
        <w:rPr>
          <w:rFonts w:asciiTheme="minorHAnsi" w:hAnsiTheme="minorHAnsi" w:cstheme="minorHAnsi"/>
          <w:sz w:val="24"/>
          <w:szCs w:val="24"/>
        </w:rPr>
        <w:t xml:space="preserve">Właśnie ta część uzasadnienia </w:t>
      </w:r>
      <w:r w:rsidR="00753ECB">
        <w:rPr>
          <w:rFonts w:asciiTheme="minorHAnsi" w:hAnsiTheme="minorHAnsi" w:cstheme="minorHAnsi"/>
          <w:sz w:val="24"/>
          <w:szCs w:val="24"/>
        </w:rPr>
        <w:t>decyzji</w:t>
      </w:r>
      <w:r w:rsidRPr="00CA7229">
        <w:rPr>
          <w:rFonts w:asciiTheme="minorHAnsi" w:hAnsiTheme="minorHAnsi" w:cstheme="minorHAnsi"/>
          <w:sz w:val="24"/>
          <w:szCs w:val="24"/>
        </w:rPr>
        <w:t xml:space="preserve"> ma przekonać strony, że dokonana przez organ ocena dowodów jest logiczna, spójna i zgodna z zasadami doświadczenia życiowego,                            a w konsekwencji prawidłowa bo prowadząca do ustalenia stanu faktycznego sprawy zgodnie </w:t>
      </w:r>
      <w:r w:rsidRPr="00CA7229">
        <w:rPr>
          <w:rFonts w:asciiTheme="minorHAnsi" w:hAnsiTheme="minorHAnsi" w:cstheme="minorHAnsi"/>
          <w:sz w:val="24"/>
          <w:szCs w:val="24"/>
        </w:rPr>
        <w:lastRenderedPageBreak/>
        <w:t>z podstawowymi zasadami postępowania administracyjnego, w tym m.in. wynikających z art. 7 i 77 § 1 k.p.a. (por. wyrok Naczelnego Sądu Administracyjnego z dnia 27 marca 2013 r., II GSK 1940/11)</w:t>
      </w:r>
    </w:p>
    <w:p w:rsidR="00C03F39" w:rsidRPr="00CA7229" w:rsidRDefault="00C03F39" w:rsidP="00C03F39">
      <w:pPr>
        <w:spacing w:line="312" w:lineRule="auto"/>
        <w:jc w:val="both"/>
        <w:rPr>
          <w:rFonts w:asciiTheme="minorHAnsi" w:hAnsiTheme="minorHAnsi" w:cstheme="minorHAnsi"/>
          <w:sz w:val="24"/>
          <w:szCs w:val="24"/>
        </w:rPr>
      </w:pPr>
      <w:r w:rsidRPr="00CA7229">
        <w:rPr>
          <w:rFonts w:asciiTheme="minorHAnsi" w:hAnsiTheme="minorHAnsi" w:cstheme="minorHAnsi"/>
          <w:sz w:val="24"/>
          <w:szCs w:val="24"/>
        </w:rPr>
        <w:t xml:space="preserve">Burmistrz Piwnicznej Zdroju będąc w posiadaniu powyższych dowodów jako organ wydający postanowienie powinien w swoim postanowieniu wskazać fakty, które uznał za udowodnione, dowody, na których się oparł, oraz przyczyny, z powodu których innym dowodom odmówił wiarygodności i mocy dowodowej. W swoim postanowieniu Burmistrz Piwnicznej Zdroju pominął dowody przemawiające za koniecznością przeprowadzenia transgranicznego oddziaływania na środowisko jak również konieczności uwzględnienia budowy obwodnicy Piwnicznej jako elementu większego przedsięwzięcia jaki jest wprowadzenie ciężarowego ruchu tranzytowego i dokonanie w tym charakterze oceny oddziaływania na środowisko.  </w:t>
      </w:r>
    </w:p>
    <w:p w:rsidR="00C03F39" w:rsidRPr="00CA7229" w:rsidRDefault="00C03F39" w:rsidP="00C03F39">
      <w:pPr>
        <w:spacing w:line="312" w:lineRule="auto"/>
        <w:jc w:val="both"/>
        <w:rPr>
          <w:rFonts w:asciiTheme="minorHAnsi" w:hAnsiTheme="minorHAnsi" w:cstheme="minorHAnsi"/>
          <w:sz w:val="24"/>
          <w:szCs w:val="24"/>
        </w:rPr>
      </w:pPr>
      <w:r w:rsidRPr="00CA7229">
        <w:rPr>
          <w:rFonts w:asciiTheme="minorHAnsi" w:hAnsiTheme="minorHAnsi" w:cstheme="minorHAnsi"/>
          <w:b/>
          <w:sz w:val="24"/>
          <w:szCs w:val="24"/>
        </w:rPr>
        <w:t xml:space="preserve">Postanowienie będące przedmiotem zażalenia narusza tym samym </w:t>
      </w:r>
      <w:r w:rsidRPr="00CA7229">
        <w:rPr>
          <w:rFonts w:asciiTheme="minorHAnsi" w:hAnsiTheme="minorHAnsi" w:cstheme="minorHAnsi"/>
          <w:b/>
          <w:color w:val="4D5156"/>
          <w:sz w:val="24"/>
          <w:szCs w:val="24"/>
        </w:rPr>
        <w:t xml:space="preserve"> </w:t>
      </w:r>
      <w:r w:rsidRPr="00CA7229">
        <w:rPr>
          <w:rFonts w:asciiTheme="minorHAnsi" w:hAnsiTheme="minorHAnsi" w:cstheme="minorHAnsi"/>
          <w:b/>
          <w:sz w:val="24"/>
          <w:szCs w:val="24"/>
        </w:rPr>
        <w:t>przepis art. 68 ust.1 ustawy z dnia 3 października 2008 r. o udostępnianiu informacji o środowisku i jego ochronie, udziale społeczeństwa w ochronie środowiska oraz o ocenach oddziaływania na środowisko (</w:t>
      </w:r>
      <w:r w:rsidRPr="00DC4640">
        <w:rPr>
          <w:rFonts w:asciiTheme="minorHAnsi" w:hAnsiTheme="minorHAnsi" w:cstheme="minorHAnsi"/>
          <w:b/>
          <w:i/>
          <w:iCs/>
          <w:color w:val="000000"/>
          <w:sz w:val="24"/>
          <w:szCs w:val="24"/>
        </w:rPr>
        <w:t xml:space="preserve">Dz. U z </w:t>
      </w:r>
      <w:r w:rsidRPr="00DC4640">
        <w:rPr>
          <w:rFonts w:asciiTheme="minorHAnsi" w:hAnsiTheme="minorHAnsi" w:cstheme="minorHAnsi"/>
          <w:b/>
          <w:sz w:val="24"/>
          <w:szCs w:val="24"/>
        </w:rPr>
        <w:t>z 2022 r. poz. 1029</w:t>
      </w:r>
      <w:r w:rsidRPr="00CA7229">
        <w:rPr>
          <w:rFonts w:asciiTheme="minorHAnsi" w:hAnsiTheme="minorHAnsi" w:cstheme="minorHAnsi"/>
          <w:b/>
          <w:sz w:val="24"/>
          <w:szCs w:val="24"/>
        </w:rPr>
        <w:t>)</w:t>
      </w:r>
      <w:r w:rsidRPr="00CA7229">
        <w:rPr>
          <w:rFonts w:asciiTheme="minorHAnsi" w:hAnsiTheme="minorHAnsi" w:cstheme="minorHAnsi"/>
          <w:b/>
          <w:i/>
          <w:sz w:val="24"/>
          <w:szCs w:val="24"/>
        </w:rPr>
        <w:t xml:space="preserve"> </w:t>
      </w:r>
      <w:r w:rsidRPr="00CA7229">
        <w:rPr>
          <w:rFonts w:asciiTheme="minorHAnsi" w:hAnsiTheme="minorHAnsi" w:cstheme="minorHAnsi"/>
          <w:b/>
          <w:sz w:val="24"/>
          <w:szCs w:val="24"/>
        </w:rPr>
        <w:t xml:space="preserve"> zgodnie z którym organ, określając zakres raportu, uwzględnia stan współczesnej wiedzy i metod badań oraz istniejące możliwości techniczne i dostępność danych oraz art. 80, art. 107 § 3, art.7 i art.77 § 1 Kodeksu postępowania administracyjnego (</w:t>
      </w:r>
      <w:r w:rsidRPr="00DC4640">
        <w:rPr>
          <w:b/>
        </w:rPr>
        <w:t>Dz. U. z 2021 r. poz. 735</w:t>
      </w:r>
      <w:r w:rsidRPr="00CA7229">
        <w:rPr>
          <w:rFonts w:asciiTheme="minorHAnsi" w:hAnsiTheme="minorHAnsi" w:cstheme="minorHAnsi"/>
          <w:b/>
          <w:sz w:val="24"/>
          <w:szCs w:val="24"/>
        </w:rPr>
        <w:t>) –które to art. KPA opisano powyżej.</w:t>
      </w:r>
    </w:p>
    <w:p w:rsidR="00C03F39" w:rsidRPr="00CA7229" w:rsidRDefault="00C03F39" w:rsidP="00C03F39">
      <w:pPr>
        <w:spacing w:line="312" w:lineRule="auto"/>
        <w:jc w:val="both"/>
        <w:rPr>
          <w:rFonts w:asciiTheme="minorHAnsi" w:hAnsiTheme="minorHAnsi" w:cstheme="minorHAnsi"/>
          <w:sz w:val="24"/>
          <w:szCs w:val="24"/>
        </w:rPr>
      </w:pPr>
      <w:r w:rsidRPr="00CA7229">
        <w:rPr>
          <w:rFonts w:asciiTheme="minorHAnsi" w:hAnsiTheme="minorHAnsi" w:cstheme="minorHAnsi"/>
          <w:sz w:val="24"/>
          <w:szCs w:val="24"/>
        </w:rPr>
        <w:t xml:space="preserve">Powyższe doprowadziło również do naruszenia art. 63 ust.1 </w:t>
      </w:r>
      <w:bookmarkStart w:id="2" w:name="_Hlk57015965"/>
      <w:r w:rsidRPr="00CA7229">
        <w:rPr>
          <w:rFonts w:asciiTheme="minorHAnsi" w:hAnsiTheme="minorHAnsi" w:cstheme="minorHAnsi"/>
          <w:sz w:val="24"/>
          <w:szCs w:val="24"/>
        </w:rPr>
        <w:t>ustawy z dnia 3 października 2008 r. o udostępnianiu informacji o środowisku i jego ochronie, udziale społeczeństwa                          w ochronie środowiska oraz o ocenach oddziaływania na środowisko (</w:t>
      </w:r>
      <w:r w:rsidRPr="00CA7229">
        <w:rPr>
          <w:rFonts w:asciiTheme="minorHAnsi" w:hAnsiTheme="minorHAnsi" w:cstheme="minorHAnsi"/>
          <w:i/>
          <w:iCs/>
          <w:color w:val="000000"/>
          <w:sz w:val="24"/>
          <w:szCs w:val="24"/>
        </w:rPr>
        <w:t xml:space="preserve">Dz. U z </w:t>
      </w:r>
      <w:r w:rsidRPr="00CA7229">
        <w:rPr>
          <w:rFonts w:asciiTheme="minorHAnsi" w:hAnsiTheme="minorHAnsi" w:cstheme="minorHAnsi"/>
          <w:sz w:val="24"/>
          <w:szCs w:val="24"/>
        </w:rPr>
        <w:t>z 2022 r. poz. 1029)</w:t>
      </w:r>
      <w:r w:rsidRPr="00CA7229">
        <w:rPr>
          <w:rFonts w:asciiTheme="minorHAnsi" w:hAnsiTheme="minorHAnsi" w:cstheme="minorHAnsi"/>
          <w:i/>
          <w:sz w:val="24"/>
          <w:szCs w:val="24"/>
        </w:rPr>
        <w:t xml:space="preserve"> </w:t>
      </w:r>
      <w:r w:rsidRPr="00CA7229">
        <w:rPr>
          <w:rFonts w:asciiTheme="minorHAnsi" w:hAnsiTheme="minorHAnsi" w:cstheme="minorHAnsi"/>
          <w:sz w:val="24"/>
          <w:szCs w:val="24"/>
        </w:rPr>
        <w:t xml:space="preserve"> </w:t>
      </w:r>
      <w:bookmarkEnd w:id="2"/>
      <w:r w:rsidRPr="00CA7229">
        <w:rPr>
          <w:rFonts w:asciiTheme="minorHAnsi" w:hAnsiTheme="minorHAnsi" w:cstheme="minorHAnsi"/>
          <w:sz w:val="24"/>
          <w:szCs w:val="24"/>
        </w:rPr>
        <w:t>poprzez nie uwzględnienie łącznie kryteriów :</w:t>
      </w:r>
    </w:p>
    <w:p w:rsidR="00C03F39" w:rsidRPr="00CA7229" w:rsidRDefault="00C03F39" w:rsidP="00C03F39">
      <w:pPr>
        <w:numPr>
          <w:ilvl w:val="0"/>
          <w:numId w:val="3"/>
        </w:numPr>
        <w:spacing w:line="312" w:lineRule="auto"/>
        <w:ind w:left="-360" w:firstLine="360"/>
        <w:jc w:val="both"/>
        <w:rPr>
          <w:rFonts w:asciiTheme="minorHAnsi" w:hAnsiTheme="minorHAnsi" w:cstheme="minorHAnsi"/>
          <w:sz w:val="24"/>
          <w:szCs w:val="24"/>
        </w:rPr>
      </w:pPr>
      <w:r w:rsidRPr="00CA7229">
        <w:rPr>
          <w:rFonts w:asciiTheme="minorHAnsi" w:hAnsiTheme="minorHAnsi" w:cstheme="minorHAnsi"/>
          <w:sz w:val="24"/>
          <w:szCs w:val="24"/>
        </w:rPr>
        <w:t>skali przedsięwzięcia, powiązań z innymi przedsięwzięciami,</w:t>
      </w:r>
    </w:p>
    <w:p w:rsidR="00C03F39" w:rsidRPr="00CA7229" w:rsidRDefault="00C03F39" w:rsidP="00C03F39">
      <w:pPr>
        <w:numPr>
          <w:ilvl w:val="0"/>
          <w:numId w:val="3"/>
        </w:numPr>
        <w:spacing w:line="312" w:lineRule="auto"/>
        <w:ind w:left="-360" w:firstLine="360"/>
        <w:jc w:val="both"/>
        <w:rPr>
          <w:rFonts w:asciiTheme="minorHAnsi" w:hAnsiTheme="minorHAnsi" w:cstheme="minorHAnsi"/>
          <w:sz w:val="24"/>
          <w:szCs w:val="24"/>
        </w:rPr>
      </w:pPr>
      <w:r w:rsidRPr="00CA7229">
        <w:rPr>
          <w:rFonts w:asciiTheme="minorHAnsi" w:hAnsiTheme="minorHAnsi" w:cstheme="minorHAnsi"/>
          <w:sz w:val="24"/>
          <w:szCs w:val="24"/>
        </w:rPr>
        <w:t>usytuowanie przedsięwzięcia, z uwzględnieniem możliwego zagrożenia dla środowiska, w szczególności przy istniejącym i planowanym użytkowaniu terenu, zdolności samooczyszczania się środowiska i odnawiania się zasobów naturalnych, walorów przyrodniczych i krajobrazowych oraz uwarunkowań miejscowych planów zagospodarowania przestrzennego – uwzględniające: obszary wymagające specjalnej ochrony ze względu na występowanie gatunków roślin, grzybów i zwierząt lub ich siedlisk lub siedlisk przyrodniczych objętych ochroną, w tym obszary Natura 2000</w:t>
      </w:r>
    </w:p>
    <w:p w:rsidR="00C03F39" w:rsidRPr="00CA7229" w:rsidRDefault="00C03F39" w:rsidP="00C03F39">
      <w:pPr>
        <w:numPr>
          <w:ilvl w:val="0"/>
          <w:numId w:val="3"/>
        </w:numPr>
        <w:spacing w:line="312" w:lineRule="auto"/>
        <w:ind w:left="-360" w:firstLine="360"/>
        <w:jc w:val="both"/>
        <w:rPr>
          <w:rFonts w:asciiTheme="minorHAnsi" w:hAnsiTheme="minorHAnsi" w:cstheme="minorHAnsi"/>
          <w:sz w:val="24"/>
          <w:szCs w:val="24"/>
        </w:rPr>
      </w:pPr>
      <w:r w:rsidRPr="00CA7229">
        <w:rPr>
          <w:rFonts w:asciiTheme="minorHAnsi" w:hAnsiTheme="minorHAnsi" w:cstheme="minorHAnsi"/>
          <w:sz w:val="24"/>
          <w:szCs w:val="24"/>
        </w:rPr>
        <w:t>rodzaju, cechy i skali możliwego oddziaływania rozważanego w odniesieniu do kryteriów wymienionych w pkt 1 i 2 oraz w art. 62 ust. 1 pkt 1, ww. ustawy wynikające z:</w:t>
      </w:r>
    </w:p>
    <w:p w:rsidR="00C03F39" w:rsidRPr="00CA7229" w:rsidRDefault="00C03F39" w:rsidP="00C03F39">
      <w:pPr>
        <w:spacing w:line="312" w:lineRule="auto"/>
        <w:ind w:left="360"/>
        <w:jc w:val="both"/>
        <w:rPr>
          <w:rFonts w:asciiTheme="minorHAnsi" w:hAnsiTheme="minorHAnsi" w:cstheme="minorHAnsi"/>
          <w:sz w:val="24"/>
          <w:szCs w:val="24"/>
        </w:rPr>
      </w:pPr>
      <w:r w:rsidRPr="00CA7229">
        <w:rPr>
          <w:rFonts w:asciiTheme="minorHAnsi" w:hAnsiTheme="minorHAnsi" w:cstheme="minorHAnsi"/>
          <w:sz w:val="24"/>
          <w:szCs w:val="24"/>
        </w:rPr>
        <w:t>a) zasięgu oddziaływania – obszaru geograficznego i liczby ludności, na którą przedsięwzięcie może oddziaływać,</w:t>
      </w:r>
    </w:p>
    <w:p w:rsidR="00C03F39" w:rsidRPr="00CA7229" w:rsidRDefault="00C03F39" w:rsidP="00C03F39">
      <w:pPr>
        <w:spacing w:line="312" w:lineRule="auto"/>
        <w:ind w:left="360"/>
        <w:jc w:val="both"/>
        <w:rPr>
          <w:rFonts w:asciiTheme="minorHAnsi" w:hAnsiTheme="minorHAnsi" w:cstheme="minorHAnsi"/>
          <w:sz w:val="24"/>
          <w:szCs w:val="24"/>
        </w:rPr>
      </w:pPr>
      <w:r w:rsidRPr="00CA7229">
        <w:rPr>
          <w:rFonts w:asciiTheme="minorHAnsi" w:hAnsiTheme="minorHAnsi" w:cstheme="minorHAnsi"/>
          <w:sz w:val="24"/>
          <w:szCs w:val="24"/>
        </w:rPr>
        <w:t xml:space="preserve">b) transgranicznego charakteru oddziaływania przedsięwzięcia na poszczególne elementy przyrodnicze, c) charakteru, wielkości, intensywności i złożoności oddziaływania, </w:t>
      </w:r>
      <w:r>
        <w:rPr>
          <w:rFonts w:asciiTheme="minorHAnsi" w:hAnsiTheme="minorHAnsi" w:cstheme="minorHAnsi"/>
          <w:sz w:val="24"/>
          <w:szCs w:val="24"/>
        </w:rPr>
        <w:t xml:space="preserve">                         </w:t>
      </w:r>
      <w:r w:rsidRPr="00CA7229">
        <w:rPr>
          <w:rFonts w:asciiTheme="minorHAnsi" w:hAnsiTheme="minorHAnsi" w:cstheme="minorHAnsi"/>
          <w:sz w:val="24"/>
          <w:szCs w:val="24"/>
        </w:rPr>
        <w:lastRenderedPageBreak/>
        <w:t>z uwzględnieniem obciążenia istniejącej infrastruktury technicznej oraz przewidywanego momentu rozpoczęcia oddziaływania,</w:t>
      </w:r>
    </w:p>
    <w:p w:rsidR="00C03F39" w:rsidRPr="00CA7229" w:rsidRDefault="00C03F39" w:rsidP="00C03F39">
      <w:pPr>
        <w:spacing w:line="312" w:lineRule="auto"/>
        <w:ind w:left="360"/>
        <w:jc w:val="both"/>
        <w:rPr>
          <w:rFonts w:asciiTheme="minorHAnsi" w:hAnsiTheme="minorHAnsi" w:cstheme="minorHAnsi"/>
          <w:sz w:val="24"/>
          <w:szCs w:val="24"/>
        </w:rPr>
      </w:pPr>
      <w:r w:rsidRPr="00CA7229">
        <w:rPr>
          <w:rFonts w:asciiTheme="minorHAnsi" w:hAnsiTheme="minorHAnsi" w:cstheme="minorHAnsi"/>
          <w:sz w:val="24"/>
          <w:szCs w:val="24"/>
        </w:rPr>
        <w:t>d) prawdopodobieństwa oddziaływania,</w:t>
      </w:r>
    </w:p>
    <w:p w:rsidR="00C03F39" w:rsidRPr="00CA7229" w:rsidRDefault="00C03F39" w:rsidP="00C03F39">
      <w:pPr>
        <w:spacing w:line="312" w:lineRule="auto"/>
        <w:ind w:left="360"/>
        <w:jc w:val="both"/>
        <w:rPr>
          <w:rFonts w:asciiTheme="minorHAnsi" w:hAnsiTheme="minorHAnsi" w:cstheme="minorHAnsi"/>
          <w:sz w:val="24"/>
          <w:szCs w:val="24"/>
        </w:rPr>
      </w:pPr>
      <w:r w:rsidRPr="00CA7229">
        <w:rPr>
          <w:rFonts w:asciiTheme="minorHAnsi" w:hAnsiTheme="minorHAnsi" w:cstheme="minorHAnsi"/>
          <w:sz w:val="24"/>
          <w:szCs w:val="24"/>
        </w:rPr>
        <w:t xml:space="preserve"> e) czasu trwania, częstotliwości i odwracalności oddziaływania,</w:t>
      </w:r>
    </w:p>
    <w:p w:rsidR="00C03F39" w:rsidRPr="00CA7229" w:rsidRDefault="00C03F39" w:rsidP="00C03F39">
      <w:pPr>
        <w:spacing w:line="312" w:lineRule="auto"/>
        <w:ind w:left="360"/>
        <w:jc w:val="both"/>
        <w:rPr>
          <w:rFonts w:asciiTheme="minorHAnsi" w:hAnsiTheme="minorHAnsi" w:cstheme="minorHAnsi"/>
          <w:sz w:val="24"/>
          <w:szCs w:val="24"/>
        </w:rPr>
      </w:pPr>
      <w:r w:rsidRPr="00CA7229">
        <w:rPr>
          <w:rFonts w:asciiTheme="minorHAnsi" w:hAnsiTheme="minorHAnsi" w:cstheme="minorHAnsi"/>
          <w:sz w:val="24"/>
          <w:szCs w:val="24"/>
        </w:rPr>
        <w:t xml:space="preserve">f) powiązań z innymi przedsięwzięciami, w szczególności kumulowania się oddziaływań przedsięwzięć realizowanych i zrealizowanych, dla których została wydana decyzja </w:t>
      </w:r>
      <w:r>
        <w:rPr>
          <w:rFonts w:asciiTheme="minorHAnsi" w:hAnsiTheme="minorHAnsi" w:cstheme="minorHAnsi"/>
          <w:sz w:val="24"/>
          <w:szCs w:val="24"/>
        </w:rPr>
        <w:t xml:space="preserve">                    </w:t>
      </w:r>
      <w:r w:rsidRPr="00CA7229">
        <w:rPr>
          <w:rFonts w:asciiTheme="minorHAnsi" w:hAnsiTheme="minorHAnsi" w:cstheme="minorHAnsi"/>
          <w:sz w:val="24"/>
          <w:szCs w:val="24"/>
        </w:rPr>
        <w:t xml:space="preserve">o środowiskowych uwarunkowaniach, znajdujących się na terenie, na którym planuje się realizację przedsięwzięcia, oraz w obszarze oddziaływania przedsięwzięcia lub których oddziaływania mieszczą się w obszarze oddziaływania planowanego przedsięwzięcia – </w:t>
      </w:r>
      <w:r>
        <w:rPr>
          <w:rFonts w:asciiTheme="minorHAnsi" w:hAnsiTheme="minorHAnsi" w:cstheme="minorHAnsi"/>
          <w:sz w:val="24"/>
          <w:szCs w:val="24"/>
        </w:rPr>
        <w:t xml:space="preserve">               </w:t>
      </w:r>
      <w:r w:rsidRPr="00CA7229">
        <w:rPr>
          <w:rFonts w:asciiTheme="minorHAnsi" w:hAnsiTheme="minorHAnsi" w:cstheme="minorHAnsi"/>
          <w:sz w:val="24"/>
          <w:szCs w:val="24"/>
        </w:rPr>
        <w:t xml:space="preserve">w zakresie, w jakim ich oddziaływania mogą prowadzić do skumulowania oddziaływań </w:t>
      </w:r>
      <w:r>
        <w:rPr>
          <w:rFonts w:asciiTheme="minorHAnsi" w:hAnsiTheme="minorHAnsi" w:cstheme="minorHAnsi"/>
          <w:sz w:val="24"/>
          <w:szCs w:val="24"/>
        </w:rPr>
        <w:t xml:space="preserve">                  </w:t>
      </w:r>
      <w:r w:rsidRPr="00CA7229">
        <w:rPr>
          <w:rFonts w:asciiTheme="minorHAnsi" w:hAnsiTheme="minorHAnsi" w:cstheme="minorHAnsi"/>
          <w:sz w:val="24"/>
          <w:szCs w:val="24"/>
        </w:rPr>
        <w:t>z planowanym przedsięwzięciem,</w:t>
      </w:r>
    </w:p>
    <w:p w:rsidR="00C03F39" w:rsidRPr="00CA7229" w:rsidRDefault="00C03F39" w:rsidP="00C03F39">
      <w:pPr>
        <w:spacing w:line="312" w:lineRule="auto"/>
        <w:ind w:left="360"/>
        <w:jc w:val="both"/>
        <w:rPr>
          <w:rFonts w:asciiTheme="minorHAnsi" w:hAnsiTheme="minorHAnsi" w:cstheme="minorHAnsi"/>
          <w:sz w:val="24"/>
          <w:szCs w:val="24"/>
        </w:rPr>
      </w:pPr>
      <w:r w:rsidRPr="00CA7229">
        <w:rPr>
          <w:rFonts w:asciiTheme="minorHAnsi" w:hAnsiTheme="minorHAnsi" w:cstheme="minorHAnsi"/>
          <w:sz w:val="24"/>
          <w:szCs w:val="24"/>
        </w:rPr>
        <w:t>g) możliwości ograniczenia oddziaływania.</w:t>
      </w:r>
    </w:p>
    <w:p w:rsidR="00C03F39" w:rsidRPr="00CA7229" w:rsidRDefault="00C03F39" w:rsidP="00C03F39">
      <w:pPr>
        <w:spacing w:line="312" w:lineRule="auto"/>
        <w:ind w:left="360"/>
        <w:jc w:val="both"/>
        <w:rPr>
          <w:rFonts w:asciiTheme="minorHAnsi" w:hAnsiTheme="minorHAnsi" w:cstheme="minorHAnsi"/>
          <w:sz w:val="24"/>
          <w:szCs w:val="24"/>
        </w:rPr>
      </w:pPr>
    </w:p>
    <w:p w:rsidR="00C03F39" w:rsidRPr="00CA7229" w:rsidRDefault="00C03F39" w:rsidP="00C03F39">
      <w:pPr>
        <w:spacing w:line="312" w:lineRule="auto"/>
        <w:jc w:val="both"/>
        <w:rPr>
          <w:rFonts w:asciiTheme="minorHAnsi" w:hAnsiTheme="minorHAnsi" w:cstheme="minorHAnsi"/>
          <w:sz w:val="24"/>
          <w:szCs w:val="24"/>
        </w:rPr>
      </w:pPr>
      <w:r w:rsidRPr="00CA7229">
        <w:rPr>
          <w:rFonts w:asciiTheme="minorHAnsi" w:hAnsiTheme="minorHAnsi" w:cstheme="minorHAnsi"/>
          <w:sz w:val="24"/>
          <w:szCs w:val="24"/>
        </w:rPr>
        <w:t>Z uwagi na powyższe</w:t>
      </w:r>
      <w:r w:rsidRPr="00CA7229">
        <w:rPr>
          <w:rFonts w:asciiTheme="minorHAnsi" w:hAnsiTheme="minorHAnsi" w:cstheme="minorHAnsi"/>
          <w:i/>
          <w:sz w:val="24"/>
          <w:szCs w:val="24"/>
        </w:rPr>
        <w:t xml:space="preserve"> </w:t>
      </w:r>
      <w:r w:rsidRPr="00CA7229">
        <w:rPr>
          <w:rFonts w:asciiTheme="minorHAnsi" w:hAnsiTheme="minorHAnsi" w:cstheme="minorHAnsi"/>
          <w:sz w:val="24"/>
          <w:szCs w:val="24"/>
        </w:rPr>
        <w:t xml:space="preserve"> </w:t>
      </w:r>
      <w:r w:rsidR="00753ECB">
        <w:rPr>
          <w:rFonts w:asciiTheme="minorHAnsi" w:hAnsiTheme="minorHAnsi" w:cstheme="minorHAnsi"/>
          <w:b/>
          <w:bCs/>
          <w:sz w:val="24"/>
          <w:szCs w:val="24"/>
        </w:rPr>
        <w:t>wnoszę o</w:t>
      </w:r>
      <w:r w:rsidRPr="00CA7229">
        <w:rPr>
          <w:rFonts w:asciiTheme="minorHAnsi" w:hAnsiTheme="minorHAnsi" w:cstheme="minorHAnsi"/>
          <w:b/>
          <w:bCs/>
          <w:sz w:val="24"/>
          <w:szCs w:val="24"/>
        </w:rPr>
        <w:t xml:space="preserve"> uchylenie przedmiotowego postanowienia Burmistrza Piwnicznej Zdroju  w całości i przekazanie sprawy do ponownego rozpoznania .</w:t>
      </w:r>
    </w:p>
    <w:p w:rsidR="00C03F39" w:rsidRPr="00CA7229" w:rsidRDefault="00C03F39" w:rsidP="00C03F39">
      <w:pPr>
        <w:spacing w:line="312" w:lineRule="auto"/>
        <w:jc w:val="both"/>
        <w:rPr>
          <w:rFonts w:asciiTheme="minorHAnsi" w:hAnsiTheme="minorHAnsi" w:cstheme="minorHAnsi"/>
          <w:color w:val="000000"/>
          <w:sz w:val="24"/>
          <w:szCs w:val="24"/>
        </w:rPr>
      </w:pPr>
      <w:r w:rsidRPr="00CA7229">
        <w:rPr>
          <w:rFonts w:asciiTheme="minorHAnsi" w:hAnsiTheme="minorHAnsi" w:cstheme="minorHAnsi"/>
          <w:sz w:val="24"/>
          <w:szCs w:val="24"/>
        </w:rPr>
        <w:t xml:space="preserve">Odwołując się do podstawowych zasad jakimi winien kierować się organ prowadzący postępowanie administracyjne stwierdzić należy, że to Burmistrz, stojąc na straży praworządności, winien z własnej inicjatywy  podejmować  wszelkie czynności niezbędne do dokładnego wyjaśnienia stanu faktycznego oraz do załatwienia sprawy, mając na względzie interes społeczny i słuszny interes obywateli. </w:t>
      </w:r>
      <w:r w:rsidRPr="00CA7229">
        <w:rPr>
          <w:rFonts w:asciiTheme="minorHAnsi" w:hAnsiTheme="minorHAnsi" w:cstheme="minorHAnsi"/>
          <w:sz w:val="24"/>
          <w:szCs w:val="24"/>
          <w:u w:val="single"/>
        </w:rPr>
        <w:t xml:space="preserve"> To na organie spoczywa prawny</w:t>
      </w:r>
      <w:r w:rsidRPr="00CA7229">
        <w:rPr>
          <w:rFonts w:asciiTheme="minorHAnsi" w:hAnsiTheme="minorHAnsi" w:cstheme="minorHAnsi"/>
          <w:color w:val="000000"/>
          <w:sz w:val="24"/>
          <w:szCs w:val="24"/>
          <w:u w:val="single"/>
        </w:rPr>
        <w:t xml:space="preserve">  obowiązek wyczerpującego zebrania i rozpatrzenia całego materiału dowodowego  (art.7 KPA). Rzetelne przeprowadzenie postępowania ma </w:t>
      </w:r>
      <w:r w:rsidRPr="00CA7229">
        <w:rPr>
          <w:rStyle w:val="StrongEmphasis"/>
          <w:rFonts w:asciiTheme="minorHAnsi" w:hAnsiTheme="minorHAnsi" w:cstheme="minorHAnsi"/>
          <w:color w:val="CC0066"/>
          <w:sz w:val="24"/>
          <w:szCs w:val="24"/>
          <w:u w:val="single"/>
        </w:rPr>
        <w:t xml:space="preserve"> </w:t>
      </w:r>
      <w:r w:rsidRPr="00CA7229">
        <w:rPr>
          <w:rStyle w:val="StrongEmphasis"/>
          <w:rFonts w:asciiTheme="minorHAnsi" w:hAnsiTheme="minorHAnsi" w:cstheme="minorHAnsi"/>
          <w:color w:val="000000"/>
          <w:sz w:val="24"/>
          <w:szCs w:val="24"/>
          <w:u w:val="single"/>
        </w:rPr>
        <w:t>pogłębiać  ma zaufanie obywateli do państwa</w:t>
      </w:r>
      <w:r w:rsidRPr="00CA7229">
        <w:rPr>
          <w:rFonts w:asciiTheme="minorHAnsi" w:hAnsiTheme="minorHAnsi" w:cstheme="minorHAnsi"/>
          <w:color w:val="000000"/>
          <w:sz w:val="24"/>
          <w:szCs w:val="24"/>
          <w:u w:val="single"/>
        </w:rPr>
        <w:t xml:space="preserve">  ( </w:t>
      </w:r>
      <w:r w:rsidRPr="00CA7229">
        <w:rPr>
          <w:rStyle w:val="StrongEmphasis"/>
          <w:rFonts w:asciiTheme="minorHAnsi" w:hAnsiTheme="minorHAnsi" w:cstheme="minorHAnsi"/>
          <w:color w:val="000000"/>
          <w:sz w:val="24"/>
          <w:szCs w:val="24"/>
          <w:u w:val="single"/>
        </w:rPr>
        <w:t>art. 8 KPA</w:t>
      </w:r>
      <w:r w:rsidRPr="00CA7229">
        <w:rPr>
          <w:rFonts w:asciiTheme="minorHAnsi" w:hAnsiTheme="minorHAnsi" w:cstheme="minorHAnsi"/>
          <w:color w:val="000000"/>
          <w:sz w:val="24"/>
          <w:szCs w:val="24"/>
          <w:u w:val="single"/>
        </w:rPr>
        <w:t>.)</w:t>
      </w:r>
      <w:r w:rsidRPr="00CA7229">
        <w:rPr>
          <w:rFonts w:asciiTheme="minorHAnsi" w:hAnsiTheme="minorHAnsi" w:cstheme="minorHAnsi"/>
          <w:color w:val="000000"/>
          <w:sz w:val="24"/>
          <w:szCs w:val="24"/>
        </w:rPr>
        <w:t xml:space="preserve"> Wybiórcze podejście do materiałów przedkładanych przez inwestora, brak całościowego spojrzenia na skutki inwestycji o poważnym zasięgu oddziaływania, nasuwa wątpliwości czy organ we właściwy sposób ochrania interes obywateli, zwłaszcza tych którzy od pokoleń zamieszkują wzdłuż modernizowanej drogi.</w:t>
      </w:r>
    </w:p>
    <w:p w:rsidR="00C03F39" w:rsidRPr="00CA7229" w:rsidRDefault="00C03F39" w:rsidP="00C03F39">
      <w:pPr>
        <w:spacing w:line="312" w:lineRule="auto"/>
        <w:jc w:val="both"/>
        <w:rPr>
          <w:rFonts w:asciiTheme="minorHAnsi" w:hAnsiTheme="minorHAnsi" w:cstheme="minorHAnsi"/>
          <w:sz w:val="24"/>
          <w:szCs w:val="24"/>
        </w:rPr>
      </w:pPr>
      <w:r w:rsidRPr="00CA7229">
        <w:rPr>
          <w:rFonts w:asciiTheme="minorHAnsi" w:hAnsiTheme="minorHAnsi" w:cstheme="minorHAnsi"/>
          <w:color w:val="000000"/>
          <w:sz w:val="24"/>
          <w:szCs w:val="24"/>
        </w:rPr>
        <w:t>Ponadto jak wynika z wniosku inwestora zakwalifikował on omawiane przedsięwzięcie m.in. do § 3 ust. 1 pkt 60</w:t>
      </w:r>
      <w:r w:rsidRPr="00CA7229">
        <w:rPr>
          <w:rFonts w:asciiTheme="minorHAnsi" w:hAnsiTheme="minorHAnsi" w:cstheme="minorHAnsi"/>
          <w:sz w:val="24"/>
          <w:szCs w:val="24"/>
        </w:rPr>
        <w:t xml:space="preserve"> Rozporządzenia Rady Ministrów z dnia 10 września 2019 r. w sprawie przedsięwzięć mogących znacząco oddziaływać na środowisko, wątpliwości więc budzi czy organem właściwym do wydania decyzji o środowiskowych uwarunkowaniach jest Burmistrz Piwnicznej Zdroju. </w:t>
      </w:r>
    </w:p>
    <w:p w:rsidR="00211F80" w:rsidRDefault="00C03F39" w:rsidP="00753ECB">
      <w:pPr>
        <w:spacing w:line="312" w:lineRule="auto"/>
        <w:jc w:val="both"/>
        <w:rPr>
          <w:sz w:val="24"/>
        </w:rPr>
      </w:pPr>
      <w:r>
        <w:rPr>
          <w:sz w:val="24"/>
        </w:rPr>
        <w:t xml:space="preserve">Wobec powyższego wnoszę  jak na </w:t>
      </w:r>
      <w:r w:rsidR="00753ECB">
        <w:rPr>
          <w:sz w:val="24"/>
        </w:rPr>
        <w:t>wstępie.</w:t>
      </w:r>
    </w:p>
    <w:p w:rsidR="00211F80" w:rsidRDefault="00211F80" w:rsidP="00753ECB">
      <w:pPr>
        <w:spacing w:line="312" w:lineRule="auto"/>
        <w:jc w:val="both"/>
        <w:rPr>
          <w:sz w:val="24"/>
        </w:rPr>
      </w:pPr>
    </w:p>
    <w:p w:rsidR="00211F80" w:rsidRDefault="00211F80" w:rsidP="00753ECB">
      <w:pPr>
        <w:spacing w:line="312" w:lineRule="auto"/>
        <w:jc w:val="both"/>
        <w:rPr>
          <w:sz w:val="24"/>
        </w:rPr>
      </w:pPr>
    </w:p>
    <w:p w:rsidR="00211F80" w:rsidRDefault="00211F80" w:rsidP="00753ECB">
      <w:pPr>
        <w:spacing w:line="312" w:lineRule="auto"/>
        <w:jc w:val="both"/>
        <w:rPr>
          <w:sz w:val="24"/>
        </w:rPr>
      </w:pPr>
    </w:p>
    <w:p w:rsidR="00211F80" w:rsidRDefault="00211F80" w:rsidP="00753ECB">
      <w:pPr>
        <w:spacing w:line="312" w:lineRule="auto"/>
        <w:jc w:val="both"/>
      </w:pPr>
      <w:r>
        <w:t xml:space="preserve">                                                                                      ………………………………………………………………………..</w:t>
      </w:r>
    </w:p>
    <w:p w:rsidR="00211F80" w:rsidRDefault="00211F80" w:rsidP="00753ECB">
      <w:pPr>
        <w:spacing w:line="312" w:lineRule="auto"/>
        <w:jc w:val="both"/>
      </w:pPr>
      <w:r>
        <w:tab/>
      </w:r>
      <w:r>
        <w:tab/>
      </w:r>
      <w:r>
        <w:tab/>
      </w:r>
      <w:r>
        <w:tab/>
      </w:r>
      <w:r>
        <w:tab/>
      </w:r>
      <w:r>
        <w:tab/>
      </w:r>
      <w:r>
        <w:tab/>
      </w:r>
      <w:r>
        <w:tab/>
      </w:r>
      <w:r>
        <w:tab/>
        <w:t xml:space="preserve">Podpis </w:t>
      </w:r>
    </w:p>
    <w:sectPr w:rsidR="00211F80" w:rsidSect="00EC674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4395" w:rsidRDefault="00284395" w:rsidP="00EC6744">
      <w:r>
        <w:separator/>
      </w:r>
    </w:p>
  </w:endnote>
  <w:endnote w:type="continuationSeparator" w:id="0">
    <w:p w:rsidR="00284395" w:rsidRDefault="00284395" w:rsidP="00EC674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default"/>
    <w:sig w:usb0="00000000" w:usb1="00000000" w:usb2="00000000" w:usb3="00000000" w:csb0="0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4395" w:rsidRDefault="00284395" w:rsidP="00EC6744">
      <w:r w:rsidRPr="00EC6744">
        <w:rPr>
          <w:color w:val="000000"/>
        </w:rPr>
        <w:separator/>
      </w:r>
    </w:p>
  </w:footnote>
  <w:footnote w:type="continuationSeparator" w:id="0">
    <w:p w:rsidR="00284395" w:rsidRDefault="00284395" w:rsidP="00EC674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3A068A"/>
    <w:multiLevelType w:val="multilevel"/>
    <w:tmpl w:val="2B3C22EA"/>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nsid w:val="4C436DBB"/>
    <w:multiLevelType w:val="hybridMultilevel"/>
    <w:tmpl w:val="D1BEFA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661B712F"/>
    <w:multiLevelType w:val="multilevel"/>
    <w:tmpl w:val="E9C83BF6"/>
    <w:lvl w:ilvl="0">
      <w:numFmt w:val="bullet"/>
      <w:lvlText w:val="•"/>
      <w:lvlJc w:val="left"/>
      <w:pPr>
        <w:ind w:left="144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nsid w:val="6AF4706E"/>
    <w:multiLevelType w:val="multilevel"/>
    <w:tmpl w:val="0B7013D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autoHyphenation/>
  <w:hyphenationZone w:val="425"/>
  <w:characterSpacingControl w:val="doNotCompress"/>
  <w:footnotePr>
    <w:footnote w:id="-1"/>
    <w:footnote w:id="0"/>
  </w:footnotePr>
  <w:endnotePr>
    <w:endnote w:id="-1"/>
    <w:endnote w:id="0"/>
  </w:endnotePr>
  <w:compat/>
  <w:rsids>
    <w:rsidRoot w:val="00EC6744"/>
    <w:rsid w:val="00017887"/>
    <w:rsid w:val="001A07D8"/>
    <w:rsid w:val="001C4316"/>
    <w:rsid w:val="001D5AD5"/>
    <w:rsid w:val="00211F80"/>
    <w:rsid w:val="00284395"/>
    <w:rsid w:val="002918C1"/>
    <w:rsid w:val="00316618"/>
    <w:rsid w:val="00455E11"/>
    <w:rsid w:val="00614DB4"/>
    <w:rsid w:val="0067615D"/>
    <w:rsid w:val="00693611"/>
    <w:rsid w:val="006B06F0"/>
    <w:rsid w:val="00753ECB"/>
    <w:rsid w:val="007F1103"/>
    <w:rsid w:val="008448ED"/>
    <w:rsid w:val="009058D5"/>
    <w:rsid w:val="00966B0B"/>
    <w:rsid w:val="009B0A05"/>
    <w:rsid w:val="009B17CB"/>
    <w:rsid w:val="009E3782"/>
    <w:rsid w:val="00A24140"/>
    <w:rsid w:val="00A74B9E"/>
    <w:rsid w:val="00AE6CA1"/>
    <w:rsid w:val="00C01F07"/>
    <w:rsid w:val="00C03F39"/>
    <w:rsid w:val="00C60944"/>
    <w:rsid w:val="00C85A4C"/>
    <w:rsid w:val="00D41CBB"/>
    <w:rsid w:val="00DB426A"/>
    <w:rsid w:val="00E03AF2"/>
    <w:rsid w:val="00E9496F"/>
    <w:rsid w:val="00EC6744"/>
    <w:rsid w:val="00F115E6"/>
    <w:rsid w:val="00F547F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kern w:val="3"/>
        <w:sz w:val="22"/>
        <w:szCs w:val="22"/>
        <w:lang w:val="pl-PL" w:eastAsia="pl-PL" w:bidi="ar-SA"/>
      </w:rPr>
    </w:rPrDefault>
    <w:pPrDefault>
      <w:pPr>
        <w:widowControl w:val="0"/>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EC6744"/>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EC6744"/>
  </w:style>
  <w:style w:type="paragraph" w:customStyle="1" w:styleId="Default">
    <w:name w:val="Default"/>
    <w:basedOn w:val="Standard"/>
    <w:rsid w:val="00EC6744"/>
    <w:rPr>
      <w:rFonts w:ascii="Times New Roman" w:hAnsi="Times New Roman"/>
      <w:color w:val="000000"/>
      <w:sz w:val="24"/>
      <w:szCs w:val="24"/>
    </w:rPr>
  </w:style>
  <w:style w:type="paragraph" w:customStyle="1" w:styleId="Textbody">
    <w:name w:val="Text body"/>
    <w:basedOn w:val="Standard"/>
    <w:rsid w:val="00EC6744"/>
    <w:pPr>
      <w:spacing w:after="283"/>
    </w:pPr>
  </w:style>
  <w:style w:type="character" w:customStyle="1" w:styleId="Internetlink">
    <w:name w:val="Internet link"/>
    <w:rsid w:val="00EC6744"/>
    <w:rPr>
      <w:color w:val="000080"/>
      <w:u w:val="single"/>
    </w:rPr>
  </w:style>
  <w:style w:type="character" w:customStyle="1" w:styleId="StrongEmphasis">
    <w:name w:val="Strong Emphasis"/>
    <w:rsid w:val="00EC6744"/>
    <w:rPr>
      <w:b/>
      <w:bCs/>
    </w:rPr>
  </w:style>
  <w:style w:type="character" w:customStyle="1" w:styleId="BulletSymbols">
    <w:name w:val="Bullet Symbols"/>
    <w:rsid w:val="00EC6744"/>
    <w:rPr>
      <w:rFonts w:ascii="OpenSymbol" w:eastAsia="OpenSymbol" w:hAnsi="OpenSymbol" w:cs="OpenSymbol"/>
    </w:rPr>
  </w:style>
  <w:style w:type="character" w:styleId="Pogrubienie">
    <w:name w:val="Strong"/>
    <w:basedOn w:val="Domylnaczcionkaakapitu"/>
    <w:uiPriority w:val="22"/>
    <w:qFormat/>
    <w:rsid w:val="0067615D"/>
    <w:rPr>
      <w:b/>
      <w:bCs/>
    </w:rPr>
  </w:style>
  <w:style w:type="paragraph" w:customStyle="1" w:styleId="ng-scope">
    <w:name w:val="ng-scope"/>
    <w:basedOn w:val="Normalny"/>
    <w:rsid w:val="0067615D"/>
    <w:pPr>
      <w:widowControl/>
      <w:suppressAutoHyphens w:val="0"/>
      <w:overflowPunct/>
      <w:autoSpaceDE/>
      <w:autoSpaceDN/>
      <w:spacing w:before="100" w:beforeAutospacing="1" w:after="100" w:afterAutospacing="1"/>
      <w:textAlignment w:val="auto"/>
    </w:pPr>
    <w:rPr>
      <w:rFonts w:ascii="Times New Roman" w:hAnsi="Times New Roman"/>
      <w:kern w:val="0"/>
      <w:sz w:val="24"/>
      <w:szCs w:val="24"/>
    </w:rPr>
  </w:style>
  <w:style w:type="paragraph" w:styleId="Akapitzlist">
    <w:name w:val="List Paragraph"/>
    <w:basedOn w:val="Normalny"/>
    <w:uiPriority w:val="34"/>
    <w:qFormat/>
    <w:rsid w:val="00AE6CA1"/>
    <w:pPr>
      <w:ind w:left="720"/>
      <w:contextualSpacing/>
    </w:pPr>
  </w:style>
</w:styles>
</file>

<file path=word/webSettings.xml><?xml version="1.0" encoding="utf-8"?>
<w:webSettings xmlns:r="http://schemas.openxmlformats.org/officeDocument/2006/relationships" xmlns:w="http://schemas.openxmlformats.org/wordprocessingml/2006/main">
  <w:divs>
    <w:div w:id="4352903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2193</Words>
  <Characters>13161</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hanusia</dc:creator>
  <cp:lastModifiedBy>hanusia</cp:lastModifiedBy>
  <cp:revision>5</cp:revision>
  <dcterms:created xsi:type="dcterms:W3CDTF">2022-07-31T17:38:00Z</dcterms:created>
  <dcterms:modified xsi:type="dcterms:W3CDTF">2022-07-31T17:55:00Z</dcterms:modified>
</cp:coreProperties>
</file>